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710"/>
        </w:tabs>
      </w:pPr>
      <w:bookmarkStart w:id="0" w:name="_Toc183682338"/>
      <w:bookmarkStart w:id="1" w:name="_Toc217446030"/>
    </w:p>
    <w:p>
      <w:pPr>
        <w:tabs>
          <w:tab w:val="left" w:pos="1710"/>
        </w:tabs>
      </w:pPr>
    </w:p>
    <w:p>
      <w:pPr>
        <w:tabs>
          <w:tab w:val="left" w:pos="1710"/>
        </w:tabs>
      </w:pPr>
    </w:p>
    <w:p>
      <w:pPr>
        <w:tabs>
          <w:tab w:val="left" w:pos="1710"/>
        </w:tabs>
      </w:pPr>
    </w:p>
    <w:p>
      <w:pPr>
        <w:tabs>
          <w:tab w:val="left" w:pos="1710"/>
        </w:tabs>
      </w:pPr>
    </w:p>
    <w:tbl>
      <w:tblPr>
        <w:tblStyle w:val="57"/>
        <w:tblW w:w="6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6173" w:type="dxa"/>
            <w:gridSpan w:val="2"/>
            <w:tcBorders>
              <w:top w:val="nil"/>
              <w:left w:val="nil"/>
              <w:right w:val="nil"/>
            </w:tcBorders>
          </w:tcPr>
          <w:p>
            <w:pPr>
              <w:snapToGrid w:val="0"/>
              <w:spacing w:line="240" w:lineRule="atLeast"/>
              <w:jc w:val="center"/>
              <w:rPr>
                <w:b/>
                <w:color w:val="auto"/>
                <w:sz w:val="60"/>
                <w:szCs w:val="60"/>
              </w:rPr>
            </w:pPr>
            <w:r>
              <w:rPr>
                <w:b/>
                <w:color w:val="auto"/>
                <w:sz w:val="60"/>
                <w:szCs w:val="60"/>
              </w:rPr>
              <w:t>招  标  文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769" w:type="dxa"/>
            <w:vAlign w:val="center"/>
          </w:tcPr>
          <w:p>
            <w:pPr>
              <w:rPr>
                <w:b/>
                <w:color w:val="auto"/>
                <w:sz w:val="32"/>
                <w:szCs w:val="32"/>
              </w:rPr>
            </w:pPr>
            <w:r>
              <w:rPr>
                <w:b/>
                <w:color w:val="auto"/>
                <w:sz w:val="32"/>
                <w:szCs w:val="32"/>
              </w:rPr>
              <w:t>项目名称：</w:t>
            </w:r>
          </w:p>
        </w:tc>
        <w:tc>
          <w:tcPr>
            <w:tcW w:w="4404" w:type="dxa"/>
            <w:vAlign w:val="center"/>
          </w:tcPr>
          <w:p>
            <w:pPr>
              <w:rPr>
                <w:rFonts w:hint="eastAsia" w:eastAsia="宋体"/>
                <w:b/>
                <w:color w:val="auto"/>
                <w:sz w:val="32"/>
                <w:szCs w:val="32"/>
                <w:lang w:eastAsia="zh-CN"/>
              </w:rPr>
            </w:pPr>
            <w:r>
              <w:rPr>
                <w:rFonts w:hint="eastAsia"/>
                <w:b/>
                <w:color w:val="auto"/>
                <w:sz w:val="32"/>
                <w:szCs w:val="32"/>
                <w:lang w:eastAsia="zh-CN"/>
              </w:rPr>
              <w:t>南宁师范大学国家教育考试标准化考点建设项目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769" w:type="dxa"/>
            <w:vAlign w:val="center"/>
          </w:tcPr>
          <w:p>
            <w:pPr>
              <w:rPr>
                <w:b/>
                <w:color w:val="auto"/>
                <w:sz w:val="32"/>
                <w:szCs w:val="32"/>
              </w:rPr>
            </w:pPr>
            <w:r>
              <w:rPr>
                <w:b/>
                <w:color w:val="auto"/>
                <w:sz w:val="32"/>
                <w:szCs w:val="32"/>
              </w:rPr>
              <w:t>项目编号：</w:t>
            </w:r>
          </w:p>
        </w:tc>
        <w:tc>
          <w:tcPr>
            <w:tcW w:w="4404" w:type="dxa"/>
            <w:vAlign w:val="center"/>
          </w:tcPr>
          <w:p>
            <w:pPr>
              <w:rPr>
                <w:rFonts w:hint="eastAsia" w:eastAsia="宋体"/>
                <w:b/>
                <w:color w:val="auto"/>
                <w:sz w:val="32"/>
                <w:szCs w:val="32"/>
                <w:lang w:eastAsia="zh-CN"/>
              </w:rPr>
            </w:pPr>
            <w:r>
              <w:rPr>
                <w:rFonts w:hint="eastAsia"/>
                <w:b/>
                <w:color w:val="auto"/>
                <w:sz w:val="32"/>
                <w:szCs w:val="32"/>
                <w:lang w:eastAsia="zh-CN"/>
              </w:rPr>
              <w:t>GXZC2020-G1-002829-JDZB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769" w:type="dxa"/>
            <w:vAlign w:val="center"/>
          </w:tcPr>
          <w:p>
            <w:pPr>
              <w:rPr>
                <w:b/>
                <w:color w:val="auto"/>
                <w:sz w:val="32"/>
                <w:szCs w:val="32"/>
              </w:rPr>
            </w:pPr>
            <w:r>
              <w:rPr>
                <w:b/>
                <w:color w:val="auto"/>
                <w:sz w:val="32"/>
                <w:szCs w:val="32"/>
              </w:rPr>
              <w:t>联系电话：</w:t>
            </w:r>
          </w:p>
        </w:tc>
        <w:tc>
          <w:tcPr>
            <w:tcW w:w="4404" w:type="dxa"/>
            <w:vAlign w:val="center"/>
          </w:tcPr>
          <w:p>
            <w:pPr>
              <w:rPr>
                <w:rFonts w:hint="eastAsia" w:eastAsia="宋体"/>
                <w:b/>
                <w:color w:val="auto"/>
                <w:sz w:val="32"/>
                <w:szCs w:val="32"/>
                <w:lang w:eastAsia="zh-CN"/>
              </w:rPr>
            </w:pPr>
            <w:r>
              <w:rPr>
                <w:b/>
                <w:color w:val="auto"/>
                <w:sz w:val="32"/>
                <w:szCs w:val="32"/>
              </w:rPr>
              <w:t>0771-</w:t>
            </w:r>
            <w:r>
              <w:rPr>
                <w:rFonts w:hint="eastAsia"/>
                <w:b/>
                <w:color w:val="auto"/>
                <w:sz w:val="32"/>
                <w:szCs w:val="32"/>
                <w:lang w:eastAsia="zh-CN"/>
              </w:rPr>
              <w:t>2808981</w:t>
            </w:r>
          </w:p>
        </w:tc>
      </w:tr>
    </w:tbl>
    <w:p>
      <w:pPr>
        <w:tabs>
          <w:tab w:val="left" w:pos="1710"/>
        </w:tabs>
        <w:rPr>
          <w:color w:val="auto"/>
        </w:rPr>
      </w:pPr>
    </w:p>
    <w:p>
      <w:pPr>
        <w:rPr>
          <w:color w:val="auto"/>
        </w:rPr>
      </w:pPr>
    </w:p>
    <w:p>
      <w:pPr>
        <w:rPr>
          <w:color w:val="auto"/>
        </w:rPr>
      </w:pPr>
    </w:p>
    <w:p>
      <w:pPr>
        <w:rPr>
          <w:color w:val="auto"/>
        </w:rPr>
      </w:pPr>
    </w:p>
    <w:p>
      <w:pPr>
        <w:rPr>
          <w:color w:val="auto"/>
        </w:rPr>
      </w:pPr>
    </w:p>
    <w:p>
      <w:pPr>
        <w:widowControl/>
        <w:jc w:val="left"/>
        <w:rPr>
          <w:rFonts w:ascii="宋体" w:hAnsi="宋体" w:cs="宋体"/>
          <w:color w:val="auto"/>
          <w:kern w:val="0"/>
          <w:sz w:val="2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57"/>
        <w:tblW w:w="8284" w:type="dxa"/>
        <w:jc w:val="center"/>
        <w:tblInd w:w="0" w:type="dxa"/>
        <w:tblLayout w:type="fixed"/>
        <w:tblCellMar>
          <w:top w:w="0" w:type="dxa"/>
          <w:left w:w="108" w:type="dxa"/>
          <w:bottom w:w="0" w:type="dxa"/>
          <w:right w:w="108" w:type="dxa"/>
        </w:tblCellMar>
      </w:tblPr>
      <w:tblGrid>
        <w:gridCol w:w="2707"/>
        <w:gridCol w:w="6"/>
        <w:gridCol w:w="5571"/>
      </w:tblGrid>
      <w:tr>
        <w:tblPrEx>
          <w:tblLayout w:type="fixed"/>
          <w:tblCellMar>
            <w:top w:w="0" w:type="dxa"/>
            <w:left w:w="108" w:type="dxa"/>
            <w:bottom w:w="0" w:type="dxa"/>
            <w:right w:w="108" w:type="dxa"/>
          </w:tblCellMar>
        </w:tblPrEx>
        <w:trPr>
          <w:trHeight w:val="703" w:hRule="atLeast"/>
          <w:jc w:val="center"/>
        </w:trPr>
        <w:tc>
          <w:tcPr>
            <w:tcW w:w="2707" w:type="dxa"/>
            <w:vAlign w:val="center"/>
          </w:tcPr>
          <w:p>
            <w:pPr>
              <w:autoSpaceDE w:val="0"/>
              <w:autoSpaceDN w:val="0"/>
              <w:adjustRightInd w:val="0"/>
              <w:jc w:val="right"/>
              <w:rPr>
                <w:b/>
                <w:color w:val="auto"/>
                <w:sz w:val="32"/>
                <w:szCs w:val="32"/>
              </w:rPr>
            </w:pPr>
            <w:r>
              <w:rPr>
                <w:b/>
                <w:color w:val="auto"/>
                <w:sz w:val="32"/>
                <w:szCs w:val="32"/>
              </w:rPr>
              <w:t xml:space="preserve">  采购人：</w:t>
            </w:r>
          </w:p>
        </w:tc>
        <w:tc>
          <w:tcPr>
            <w:tcW w:w="5577" w:type="dxa"/>
            <w:gridSpan w:val="2"/>
            <w:vAlign w:val="center"/>
          </w:tcPr>
          <w:p>
            <w:pPr>
              <w:autoSpaceDE w:val="0"/>
              <w:autoSpaceDN w:val="0"/>
              <w:adjustRightInd w:val="0"/>
              <w:jc w:val="left"/>
              <w:rPr>
                <w:rFonts w:hint="eastAsia" w:eastAsia="宋体"/>
                <w:b/>
                <w:color w:val="auto"/>
                <w:sz w:val="32"/>
                <w:szCs w:val="32"/>
                <w:lang w:eastAsia="zh-CN"/>
              </w:rPr>
            </w:pPr>
            <w:r>
              <w:rPr>
                <w:rFonts w:hint="eastAsia"/>
                <w:b/>
                <w:color w:val="auto"/>
                <w:sz w:val="32"/>
                <w:szCs w:val="32"/>
                <w:lang w:eastAsia="zh-CN"/>
              </w:rPr>
              <w:t>南宁师范大学</w:t>
            </w:r>
          </w:p>
        </w:tc>
      </w:tr>
      <w:tr>
        <w:tblPrEx>
          <w:tblLayout w:type="fixed"/>
          <w:tblCellMar>
            <w:top w:w="0" w:type="dxa"/>
            <w:left w:w="108" w:type="dxa"/>
            <w:bottom w:w="0" w:type="dxa"/>
            <w:right w:w="108" w:type="dxa"/>
          </w:tblCellMar>
        </w:tblPrEx>
        <w:trPr>
          <w:trHeight w:val="703" w:hRule="atLeast"/>
          <w:jc w:val="center"/>
        </w:trPr>
        <w:tc>
          <w:tcPr>
            <w:tcW w:w="2713" w:type="dxa"/>
            <w:gridSpan w:val="2"/>
          </w:tcPr>
          <w:p>
            <w:pPr>
              <w:autoSpaceDE w:val="0"/>
              <w:autoSpaceDN w:val="0"/>
              <w:adjustRightInd w:val="0"/>
              <w:jc w:val="right"/>
              <w:rPr>
                <w:b/>
                <w:color w:val="auto"/>
                <w:sz w:val="32"/>
                <w:szCs w:val="32"/>
              </w:rPr>
            </w:pPr>
            <w:r>
              <w:rPr>
                <w:b/>
                <w:color w:val="auto"/>
                <w:sz w:val="32"/>
                <w:szCs w:val="32"/>
              </w:rPr>
              <w:t>采购代理机构：</w:t>
            </w:r>
          </w:p>
        </w:tc>
        <w:tc>
          <w:tcPr>
            <w:tcW w:w="5571" w:type="dxa"/>
          </w:tcPr>
          <w:p>
            <w:pPr>
              <w:autoSpaceDE w:val="0"/>
              <w:autoSpaceDN w:val="0"/>
              <w:adjustRightInd w:val="0"/>
              <w:rPr>
                <w:b/>
                <w:color w:val="auto"/>
                <w:sz w:val="32"/>
                <w:szCs w:val="32"/>
                <w:u w:val="single"/>
              </w:rPr>
            </w:pPr>
            <w:r>
              <w:rPr>
                <w:b/>
                <w:color w:val="auto"/>
                <w:sz w:val="32"/>
                <w:szCs w:val="32"/>
              </w:rPr>
              <w:t>广西机电设备招标有限公司</w:t>
            </w:r>
          </w:p>
        </w:tc>
      </w:tr>
    </w:tbl>
    <w:p>
      <w:pPr>
        <w:rPr>
          <w:color w:val="auto"/>
        </w:rPr>
      </w:pPr>
    </w:p>
    <w:p>
      <w:pPr>
        <w:ind w:firstLine="321" w:firstLineChars="100"/>
        <w:jc w:val="center"/>
        <w:rPr>
          <w:b/>
          <w:color w:val="auto"/>
          <w:sz w:val="32"/>
          <w:szCs w:val="32"/>
        </w:rPr>
        <w:sectPr>
          <w:headerReference r:id="rId3" w:type="first"/>
          <w:footerReference r:id="rId5" w:type="first"/>
          <w:footerReference r:id="rId4"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rPr>
        <w:t>2020年8月</w:t>
      </w:r>
    </w:p>
    <w:p>
      <w:pPr>
        <w:spacing w:line="360" w:lineRule="auto"/>
        <w:rPr>
          <w:b/>
          <w:sz w:val="24"/>
        </w:rPr>
      </w:pPr>
    </w:p>
    <w:p>
      <w:pPr>
        <w:pStyle w:val="28"/>
        <w:snapToGrid w:val="0"/>
        <w:spacing w:before="120" w:after="120" w:line="320" w:lineRule="exact"/>
        <w:jc w:val="center"/>
        <w:outlineLvl w:val="0"/>
        <w:rPr>
          <w:rFonts w:ascii="Times New Roman" w:hAnsi="Times New Roman" w:cs="Times New Roman"/>
          <w:sz w:val="32"/>
          <w:szCs w:val="32"/>
        </w:rPr>
      </w:pPr>
      <w:bookmarkStart w:id="2" w:name="_Toc6931"/>
      <w:r>
        <w:rPr>
          <w:rFonts w:ascii="Times New Roman" w:hAnsi="Times New Roman" w:cs="Times New Roman"/>
          <w:sz w:val="32"/>
          <w:szCs w:val="32"/>
        </w:rPr>
        <w:t>目    录</w:t>
      </w:r>
      <w:bookmarkEnd w:id="2"/>
    </w:p>
    <w:p>
      <w:pPr>
        <w:pStyle w:val="36"/>
        <w:tabs>
          <w:tab w:val="right" w:leader="dot" w:pos="9354"/>
          <w:tab w:val="clear" w:pos="8398"/>
        </w:tabs>
        <w:ind w:firstLine="241"/>
        <w:rPr>
          <w:rFonts w:ascii="Times New Roman" w:hAnsi="Times New Roman"/>
        </w:rPr>
      </w:pPr>
      <w:r>
        <w:rPr>
          <w:rFonts w:ascii="Times New Roman" w:hAnsi="Times New Roman"/>
        </w:rPr>
        <w:fldChar w:fldCharType="begin"/>
      </w:r>
      <w:r>
        <w:rPr>
          <w:rStyle w:val="55"/>
          <w:rFonts w:ascii="Times New Roman" w:hAnsi="Times New Roman"/>
          <w:color w:val="auto"/>
        </w:rPr>
        <w:instrText xml:space="preserve"> TOC \o "1-1" \h \z \u </w:instrText>
      </w:r>
      <w:r>
        <w:rPr>
          <w:rFonts w:ascii="Times New Roman" w:hAnsi="Times New Roman"/>
        </w:rPr>
        <w:fldChar w:fldCharType="separate"/>
      </w:r>
      <w:r>
        <w:fldChar w:fldCharType="begin"/>
      </w:r>
      <w:r>
        <w:instrText xml:space="preserve"> HYPERLINK \l "_Toc2923" </w:instrText>
      </w:r>
      <w:r>
        <w:fldChar w:fldCharType="separate"/>
      </w:r>
      <w:r>
        <w:rPr>
          <w:rFonts w:ascii="Times New Roman" w:hAnsi="Times New Roman"/>
        </w:rPr>
        <w:t>第一章  招标公告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_Toc2923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36"/>
        <w:tabs>
          <w:tab w:val="right" w:leader="dot" w:pos="9354"/>
          <w:tab w:val="clear" w:pos="8398"/>
        </w:tabs>
        <w:ind w:firstLine="241"/>
        <w:rPr>
          <w:rFonts w:ascii="Times New Roman" w:hAnsi="Times New Roman"/>
        </w:rPr>
      </w:pPr>
      <w:r>
        <w:fldChar w:fldCharType="begin"/>
      </w:r>
      <w:r>
        <w:instrText xml:space="preserve"> HYPERLINK \l "_Toc19628" </w:instrText>
      </w:r>
      <w:r>
        <w:fldChar w:fldCharType="separate"/>
      </w:r>
      <w:r>
        <w:rPr>
          <w:rFonts w:ascii="Times New Roman" w:hAnsi="Times New Roman"/>
        </w:rPr>
        <w:t>第二章  项目采购需求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_Toc19628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36"/>
        <w:tabs>
          <w:tab w:val="right" w:leader="dot" w:pos="9354"/>
          <w:tab w:val="clear" w:pos="8398"/>
        </w:tabs>
        <w:ind w:firstLine="241"/>
        <w:rPr>
          <w:rFonts w:ascii="Times New Roman" w:hAnsi="Times New Roman"/>
        </w:rPr>
      </w:pPr>
      <w:r>
        <w:fldChar w:fldCharType="begin"/>
      </w:r>
      <w:r>
        <w:instrText xml:space="preserve"> HYPERLINK \l "_Toc25856" </w:instrText>
      </w:r>
      <w:r>
        <w:fldChar w:fldCharType="separate"/>
      </w:r>
      <w:r>
        <w:rPr>
          <w:rFonts w:ascii="Times New Roman" w:hAnsi="Times New Roman"/>
        </w:rPr>
        <w:t>第三章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_Toc25856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pPr>
        <w:pStyle w:val="36"/>
        <w:tabs>
          <w:tab w:val="right" w:leader="dot" w:pos="9354"/>
          <w:tab w:val="clear" w:pos="8398"/>
        </w:tabs>
        <w:ind w:firstLine="241"/>
        <w:rPr>
          <w:rFonts w:ascii="Times New Roman" w:hAnsi="Times New Roman"/>
        </w:rPr>
      </w:pPr>
      <w:r>
        <w:fldChar w:fldCharType="begin"/>
      </w:r>
      <w:r>
        <w:instrText xml:space="preserve"> HYPERLINK \l "_Toc3819" </w:instrText>
      </w:r>
      <w:r>
        <w:fldChar w:fldCharType="separate"/>
      </w:r>
      <w:r>
        <w:rPr>
          <w:rFonts w:ascii="Times New Roman" w:hAnsi="Times New Roman"/>
        </w:rPr>
        <w:t>第四章  评标方法及评标标准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_Toc3819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pPr>
        <w:pStyle w:val="36"/>
        <w:tabs>
          <w:tab w:val="right" w:leader="dot" w:pos="9354"/>
          <w:tab w:val="clear" w:pos="8398"/>
        </w:tabs>
        <w:ind w:firstLine="241"/>
        <w:rPr>
          <w:rFonts w:ascii="Times New Roman" w:hAnsi="Times New Roman"/>
        </w:rPr>
      </w:pPr>
      <w:r>
        <w:fldChar w:fldCharType="begin"/>
      </w:r>
      <w:r>
        <w:instrText xml:space="preserve"> HYPERLINK \l "_Toc25316" </w:instrText>
      </w:r>
      <w:r>
        <w:fldChar w:fldCharType="separate"/>
      </w:r>
      <w:r>
        <w:rPr>
          <w:rFonts w:ascii="Times New Roman" w:hAnsi="Times New Roman"/>
        </w:rPr>
        <w:t>第五章  合同主要条款格式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_Toc25316 </w:instrText>
      </w:r>
      <w:r>
        <w:rPr>
          <w:rFonts w:ascii="Times New Roman" w:hAnsi="Times New Roman"/>
        </w:rPr>
        <w:fldChar w:fldCharType="separate"/>
      </w:r>
      <w:r>
        <w:rPr>
          <w:rFonts w:ascii="Times New Roman" w:hAnsi="Times New Roman"/>
        </w:rPr>
        <w:t>44</w:t>
      </w:r>
      <w:r>
        <w:rPr>
          <w:rFonts w:ascii="Times New Roman" w:hAnsi="Times New Roman"/>
        </w:rPr>
        <w:fldChar w:fldCharType="end"/>
      </w:r>
      <w:r>
        <w:rPr>
          <w:rFonts w:ascii="Times New Roman" w:hAnsi="Times New Roman"/>
        </w:rPr>
        <w:fldChar w:fldCharType="end"/>
      </w:r>
    </w:p>
    <w:p>
      <w:pPr>
        <w:pStyle w:val="36"/>
        <w:tabs>
          <w:tab w:val="right" w:leader="dot" w:pos="9354"/>
          <w:tab w:val="clear" w:pos="8398"/>
        </w:tabs>
        <w:ind w:firstLine="241"/>
        <w:rPr>
          <w:rFonts w:ascii="Times New Roman" w:hAnsi="Times New Roman"/>
        </w:rPr>
      </w:pPr>
      <w:r>
        <w:fldChar w:fldCharType="begin"/>
      </w:r>
      <w:r>
        <w:instrText xml:space="preserve"> HYPERLINK \l "_Toc12927" </w:instrText>
      </w:r>
      <w:r>
        <w:fldChar w:fldCharType="separate"/>
      </w:r>
      <w:r>
        <w:rPr>
          <w:rFonts w:ascii="Times New Roman" w:hAnsi="Times New Roman"/>
        </w:rPr>
        <w:t>第六章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_Toc12927 </w:instrText>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fldChar w:fldCharType="end"/>
      </w:r>
    </w:p>
    <w:p>
      <w:pPr>
        <w:pStyle w:val="36"/>
        <w:ind w:firstLine="241"/>
        <w:rPr>
          <w:rFonts w:ascii="Times New Roman" w:hAnsi="Times New Roman"/>
        </w:rPr>
      </w:pPr>
      <w:r>
        <w:rPr>
          <w:rFonts w:ascii="Times New Roman" w:hAnsi="Times New Roman"/>
        </w:rPr>
        <w:fldChar w:fldCharType="end"/>
      </w:r>
    </w:p>
    <w:p>
      <w:pPr>
        <w:spacing w:before="120" w:beforeLines="50" w:line="480" w:lineRule="exact"/>
        <w:rPr>
          <w:sz w:val="28"/>
          <w:szCs w:val="28"/>
        </w:rPr>
      </w:pPr>
    </w:p>
    <w:p>
      <w:pPr>
        <w:spacing w:before="120" w:beforeLines="50" w:line="480" w:lineRule="exact"/>
        <w:rPr>
          <w:sz w:val="30"/>
        </w:rPr>
        <w:sectPr>
          <w:headerReference r:id="rId6" w:type="first"/>
          <w:footerReference r:id="rId8" w:type="first"/>
          <w:footerReference r:id="rId7" w:type="default"/>
          <w:pgSz w:w="11906" w:h="16838"/>
          <w:pgMar w:top="1418" w:right="1134" w:bottom="1247" w:left="1418" w:header="851" w:footer="992" w:gutter="0"/>
          <w:pgNumType w:start="1"/>
          <w:cols w:space="720" w:num="1"/>
          <w:titlePg/>
          <w:docGrid w:linePitch="312" w:charSpace="0"/>
        </w:sectPr>
      </w:pPr>
    </w:p>
    <w:p>
      <w:pPr>
        <w:pStyle w:val="28"/>
        <w:snapToGrid w:val="0"/>
        <w:spacing w:before="120" w:after="120" w:line="320" w:lineRule="exact"/>
        <w:jc w:val="center"/>
        <w:outlineLvl w:val="0"/>
        <w:rPr>
          <w:rFonts w:ascii="Times New Roman" w:hAnsi="Times New Roman" w:cs="Times New Roman"/>
          <w:sz w:val="32"/>
          <w:szCs w:val="32"/>
        </w:rPr>
      </w:pPr>
      <w:bookmarkStart w:id="3" w:name="_Toc254970630"/>
      <w:bookmarkStart w:id="4" w:name="_Toc254970489"/>
      <w:bookmarkStart w:id="5" w:name="_Toc2923"/>
      <w:r>
        <w:rPr>
          <w:rFonts w:ascii="Times New Roman" w:hAnsi="Times New Roman" w:cs="Times New Roman"/>
          <w:sz w:val="32"/>
          <w:szCs w:val="32"/>
        </w:rPr>
        <w:tab/>
      </w:r>
      <w:r>
        <w:rPr>
          <w:rFonts w:ascii="Times New Roman" w:hAnsi="Times New Roman" w:cs="Times New Roman"/>
          <w:sz w:val="32"/>
          <w:szCs w:val="32"/>
        </w:rPr>
        <w:t>第一章  招标公告</w:t>
      </w:r>
    </w:p>
    <w:p>
      <w:pPr>
        <w:spacing w:line="400" w:lineRule="exact"/>
        <w:jc w:val="center"/>
        <w:rPr>
          <w:rFonts w:hint="eastAsia" w:eastAsia="宋体"/>
          <w:color w:val="auto"/>
          <w:kern w:val="0"/>
          <w:sz w:val="24"/>
          <w:lang w:eastAsia="zh-CN"/>
        </w:rPr>
      </w:pPr>
      <w:r>
        <w:rPr>
          <w:color w:val="auto"/>
          <w:kern w:val="0"/>
          <w:sz w:val="24"/>
        </w:rPr>
        <w:t>广西机电设备招标有限公司关于</w:t>
      </w:r>
      <w:bookmarkStart w:id="6" w:name="_Hlk36541082"/>
      <w:r>
        <w:rPr>
          <w:rFonts w:hint="eastAsia"/>
          <w:color w:val="auto"/>
          <w:kern w:val="0"/>
          <w:sz w:val="24"/>
          <w:lang w:eastAsia="zh-CN"/>
        </w:rPr>
        <w:t>南宁师范大学国家教育考试标准化考点建设项目</w:t>
      </w:r>
    </w:p>
    <w:p>
      <w:pPr>
        <w:spacing w:line="400" w:lineRule="exact"/>
        <w:jc w:val="center"/>
        <w:rPr>
          <w:color w:val="auto"/>
          <w:kern w:val="0"/>
          <w:sz w:val="24"/>
        </w:rPr>
      </w:pPr>
      <w:r>
        <w:rPr>
          <w:color w:val="auto"/>
          <w:sz w:val="24"/>
        </w:rPr>
        <w:t>(</w:t>
      </w:r>
      <w:r>
        <w:rPr>
          <w:rFonts w:hint="eastAsia"/>
          <w:color w:val="auto"/>
          <w:sz w:val="24"/>
          <w:lang w:eastAsia="zh-CN"/>
        </w:rPr>
        <w:t>GXZC2020-G1-002829-JDZB</w:t>
      </w:r>
      <w:r>
        <w:rPr>
          <w:color w:val="auto"/>
          <w:sz w:val="24"/>
        </w:rPr>
        <w:t>)</w:t>
      </w:r>
      <w:bookmarkEnd w:id="6"/>
      <w:r>
        <w:rPr>
          <w:color w:val="auto"/>
          <w:kern w:val="0"/>
          <w:sz w:val="24"/>
        </w:rPr>
        <w:t>公开招标公告</w:t>
      </w:r>
    </w:p>
    <w:p>
      <w:pPr>
        <w:spacing w:line="312" w:lineRule="auto"/>
        <w:jc w:val="left"/>
        <w:rPr>
          <w:color w:val="auto"/>
          <w:kern w:val="0"/>
          <w:szCs w:val="21"/>
        </w:rPr>
      </w:pPr>
    </w:p>
    <w:p>
      <w:pPr>
        <w:spacing w:line="312" w:lineRule="auto"/>
        <w:ind w:firstLine="420" w:firstLineChars="200"/>
        <w:jc w:val="left"/>
        <w:rPr>
          <w:color w:val="4472C4"/>
          <w:kern w:val="0"/>
          <w:szCs w:val="21"/>
          <w:highlight w:val="none"/>
        </w:rPr>
      </w:pPr>
      <w:r>
        <w:rPr>
          <w:rFonts w:hint="eastAsia"/>
          <w:color w:val="auto"/>
          <w:szCs w:val="21"/>
        </w:rPr>
        <w:t>项目概况：</w:t>
      </w:r>
      <w:r>
        <w:rPr>
          <w:rFonts w:hint="eastAsia"/>
          <w:color w:val="auto"/>
          <w:szCs w:val="21"/>
          <w:lang w:eastAsia="zh-CN"/>
        </w:rPr>
        <w:t>南宁师范大学国家教育考试标准化考点建设项目</w:t>
      </w:r>
      <w:r>
        <w:rPr>
          <w:color w:val="auto"/>
          <w:szCs w:val="21"/>
        </w:rPr>
        <w:t>(</w:t>
      </w:r>
      <w:r>
        <w:rPr>
          <w:rFonts w:hint="eastAsia"/>
          <w:color w:val="auto"/>
          <w:szCs w:val="21"/>
          <w:lang w:eastAsia="zh-CN"/>
        </w:rPr>
        <w:t>GXZC2020-G1-002829-JD</w:t>
      </w:r>
      <w:r>
        <w:rPr>
          <w:rFonts w:hint="eastAsia"/>
          <w:color w:val="4472C4"/>
          <w:szCs w:val="21"/>
          <w:lang w:eastAsia="zh-CN"/>
        </w:rPr>
        <w:t>ZB</w:t>
      </w:r>
      <w:r>
        <w:rPr>
          <w:color w:val="4472C4"/>
          <w:szCs w:val="21"/>
        </w:rPr>
        <w:t>)</w:t>
      </w:r>
      <w:r>
        <w:rPr>
          <w:rFonts w:hint="eastAsia"/>
          <w:szCs w:val="21"/>
        </w:rPr>
        <w:t>招标项目的潜在投标人</w:t>
      </w:r>
      <w:r>
        <w:rPr>
          <w:rFonts w:hint="eastAsia"/>
          <w:color w:val="auto"/>
          <w:szCs w:val="21"/>
        </w:rPr>
        <w:t>应在</w:t>
      </w:r>
      <w:r>
        <w:rPr>
          <w:color w:val="auto"/>
        </w:rPr>
        <w:t>登录精彩纵横电子交易平台(</w:t>
      </w:r>
      <w:r>
        <w:rPr>
          <w:color w:val="auto"/>
        </w:rPr>
        <w:drawing>
          <wp:inline distT="0" distB="0" distL="0" distR="0">
            <wp:extent cx="187325" cy="145415"/>
            <wp:effectExtent l="0" t="0" r="0" b="0"/>
            <wp:docPr id="1"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GJ$ACOF(TYDYECOKVDY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87325" cy="145415"/>
                    </a:xfrm>
                    <a:prstGeom prst="rect">
                      <a:avLst/>
                    </a:prstGeom>
                    <a:noFill/>
                    <a:ln>
                      <a:noFill/>
                    </a:ln>
                  </pic:spPr>
                </pic:pic>
              </a:graphicData>
            </a:graphic>
          </wp:inline>
        </w:drawing>
      </w:r>
      <w:r>
        <w:rPr>
          <w:color w:val="auto"/>
        </w:rPr>
        <w:t>www.jczh100.com)</w:t>
      </w:r>
      <w:r>
        <w:rPr>
          <w:rFonts w:hint="eastAsia"/>
          <w:color w:val="auto"/>
        </w:rPr>
        <w:t>或现场</w:t>
      </w:r>
      <w:r>
        <w:rPr>
          <w:rFonts w:hint="eastAsia"/>
          <w:color w:val="auto"/>
          <w:szCs w:val="21"/>
        </w:rPr>
        <w:t>获</w:t>
      </w:r>
      <w:r>
        <w:rPr>
          <w:rFonts w:hint="eastAsia"/>
          <w:szCs w:val="21"/>
        </w:rPr>
        <w:t>取招标文</w:t>
      </w:r>
      <w:r>
        <w:rPr>
          <w:rFonts w:hint="eastAsia"/>
          <w:szCs w:val="21"/>
          <w:highlight w:val="none"/>
        </w:rPr>
        <w:t>件，并于</w:t>
      </w:r>
      <w:r>
        <w:rPr>
          <w:rFonts w:hint="eastAsia"/>
          <w:szCs w:val="21"/>
          <w:highlight w:val="none"/>
          <w:lang w:val="en-US" w:eastAsia="zh-CN"/>
        </w:rPr>
        <w:t>2020</w:t>
      </w:r>
      <w:r>
        <w:rPr>
          <w:rFonts w:hint="eastAsia"/>
          <w:szCs w:val="21"/>
          <w:highlight w:val="none"/>
        </w:rPr>
        <w:t>年</w:t>
      </w:r>
      <w:r>
        <w:rPr>
          <w:rFonts w:hint="eastAsia"/>
          <w:szCs w:val="21"/>
          <w:highlight w:val="none"/>
          <w:lang w:val="en-US" w:eastAsia="zh-CN"/>
        </w:rPr>
        <w:t>00</w:t>
      </w:r>
      <w:r>
        <w:rPr>
          <w:rFonts w:hint="eastAsia"/>
          <w:szCs w:val="21"/>
          <w:highlight w:val="none"/>
        </w:rPr>
        <w:t>月</w:t>
      </w:r>
      <w:r>
        <w:rPr>
          <w:rFonts w:hint="eastAsia"/>
          <w:szCs w:val="21"/>
          <w:highlight w:val="none"/>
          <w:lang w:val="en-US" w:eastAsia="zh-CN"/>
        </w:rPr>
        <w:t>00</w:t>
      </w:r>
      <w:r>
        <w:rPr>
          <w:rFonts w:hint="eastAsia"/>
          <w:szCs w:val="21"/>
          <w:highlight w:val="none"/>
        </w:rPr>
        <w:t xml:space="preserve">日 </w:t>
      </w:r>
      <w:r>
        <w:rPr>
          <w:rFonts w:hint="eastAsia"/>
          <w:szCs w:val="21"/>
          <w:highlight w:val="none"/>
          <w:lang w:val="en-US" w:eastAsia="zh-CN"/>
        </w:rPr>
        <w:t>9</w:t>
      </w:r>
      <w:r>
        <w:rPr>
          <w:rFonts w:hint="eastAsia"/>
          <w:szCs w:val="21"/>
          <w:highlight w:val="none"/>
        </w:rPr>
        <w:t xml:space="preserve">点 </w:t>
      </w:r>
      <w:r>
        <w:rPr>
          <w:rFonts w:hint="eastAsia"/>
          <w:szCs w:val="21"/>
          <w:highlight w:val="none"/>
          <w:lang w:val="en-US" w:eastAsia="zh-CN"/>
        </w:rPr>
        <w:t>30</w:t>
      </w:r>
      <w:r>
        <w:rPr>
          <w:rFonts w:hint="eastAsia"/>
          <w:szCs w:val="21"/>
          <w:highlight w:val="none"/>
        </w:rPr>
        <w:t>分（北京时间）前递交投标</w:t>
      </w:r>
      <w:r>
        <w:rPr>
          <w:szCs w:val="21"/>
          <w:highlight w:val="none"/>
        </w:rPr>
        <w:t>文件</w:t>
      </w:r>
      <w:r>
        <w:rPr>
          <w:rFonts w:hint="eastAsia"/>
          <w:szCs w:val="21"/>
          <w:highlight w:val="none"/>
        </w:rPr>
        <w:t>。</w:t>
      </w:r>
    </w:p>
    <w:p>
      <w:pPr>
        <w:spacing w:line="312" w:lineRule="auto"/>
        <w:jc w:val="left"/>
        <w:rPr>
          <w:b/>
          <w:bCs/>
          <w:kern w:val="0"/>
          <w:sz w:val="22"/>
          <w:szCs w:val="22"/>
          <w:highlight w:val="none"/>
        </w:rPr>
      </w:pPr>
    </w:p>
    <w:p>
      <w:pPr>
        <w:spacing w:line="312" w:lineRule="auto"/>
        <w:ind w:firstLine="442" w:firstLineChars="200"/>
        <w:jc w:val="left"/>
        <w:rPr>
          <w:b/>
          <w:bCs/>
          <w:kern w:val="0"/>
          <w:sz w:val="22"/>
          <w:szCs w:val="22"/>
          <w:highlight w:val="none"/>
        </w:rPr>
      </w:pPr>
      <w:r>
        <w:rPr>
          <w:rFonts w:hint="eastAsia"/>
          <w:b/>
          <w:bCs/>
          <w:kern w:val="0"/>
          <w:sz w:val="22"/>
          <w:szCs w:val="22"/>
          <w:highlight w:val="none"/>
        </w:rPr>
        <w:t>一、项目基本情况</w:t>
      </w:r>
    </w:p>
    <w:p>
      <w:pPr>
        <w:spacing w:line="312" w:lineRule="auto"/>
        <w:ind w:firstLine="420" w:firstLineChars="200"/>
        <w:jc w:val="left"/>
        <w:rPr>
          <w:rFonts w:hint="eastAsia" w:eastAsia="宋体"/>
          <w:color w:val="auto"/>
          <w:kern w:val="0"/>
          <w:szCs w:val="21"/>
          <w:highlight w:val="none"/>
          <w:lang w:eastAsia="zh-CN"/>
        </w:rPr>
      </w:pPr>
      <w:r>
        <w:rPr>
          <w:rFonts w:hint="eastAsia"/>
          <w:kern w:val="0"/>
          <w:szCs w:val="21"/>
          <w:highlight w:val="none"/>
        </w:rPr>
        <w:t>1.</w:t>
      </w:r>
      <w:r>
        <w:rPr>
          <w:kern w:val="0"/>
          <w:szCs w:val="21"/>
          <w:highlight w:val="none"/>
        </w:rPr>
        <w:t>项目编号：</w:t>
      </w:r>
      <w:r>
        <w:rPr>
          <w:rFonts w:hint="eastAsia"/>
          <w:color w:val="auto"/>
          <w:kern w:val="0"/>
          <w:szCs w:val="21"/>
          <w:highlight w:val="none"/>
          <w:lang w:eastAsia="zh-CN"/>
        </w:rPr>
        <w:t>GXZC2020-G1-002829-JDZB</w:t>
      </w:r>
    </w:p>
    <w:p>
      <w:pPr>
        <w:spacing w:line="312" w:lineRule="auto"/>
        <w:ind w:firstLine="420" w:firstLineChars="200"/>
        <w:jc w:val="left"/>
        <w:rPr>
          <w:color w:val="auto"/>
          <w:kern w:val="0"/>
          <w:szCs w:val="21"/>
          <w:highlight w:val="none"/>
        </w:rPr>
      </w:pPr>
      <w:r>
        <w:rPr>
          <w:rFonts w:hint="eastAsia"/>
          <w:color w:val="auto"/>
          <w:szCs w:val="21"/>
          <w:highlight w:val="none"/>
        </w:rPr>
        <w:t>2.</w:t>
      </w:r>
      <w:r>
        <w:rPr>
          <w:color w:val="auto"/>
          <w:szCs w:val="21"/>
          <w:highlight w:val="none"/>
        </w:rPr>
        <w:t>采购计划号：</w:t>
      </w:r>
      <w:r>
        <w:rPr>
          <w:rFonts w:hint="eastAsia"/>
          <w:color w:val="auto"/>
          <w:szCs w:val="21"/>
          <w:highlight w:val="none"/>
        </w:rPr>
        <w:t>广西政采[2020]13366号-001</w:t>
      </w:r>
    </w:p>
    <w:p>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3.</w:t>
      </w:r>
      <w:r>
        <w:rPr>
          <w:color w:val="auto"/>
          <w:kern w:val="0"/>
          <w:szCs w:val="21"/>
          <w:highlight w:val="none"/>
        </w:rPr>
        <w:t>项目名称：</w:t>
      </w:r>
      <w:r>
        <w:rPr>
          <w:rFonts w:hint="eastAsia"/>
          <w:color w:val="auto"/>
          <w:kern w:val="0"/>
          <w:szCs w:val="21"/>
          <w:highlight w:val="none"/>
          <w:lang w:eastAsia="zh-CN"/>
        </w:rPr>
        <w:t>南宁师范大学国家教育考试标准化考点建设项目</w:t>
      </w:r>
    </w:p>
    <w:p>
      <w:pPr>
        <w:spacing w:line="312" w:lineRule="auto"/>
        <w:ind w:firstLine="420" w:firstLineChars="200"/>
        <w:jc w:val="left"/>
        <w:rPr>
          <w:color w:val="4472C4"/>
          <w:kern w:val="0"/>
          <w:szCs w:val="21"/>
          <w:highlight w:val="none"/>
        </w:rPr>
      </w:pPr>
      <w:r>
        <w:rPr>
          <w:rFonts w:hint="eastAsia"/>
          <w:kern w:val="0"/>
          <w:szCs w:val="21"/>
          <w:highlight w:val="none"/>
        </w:rPr>
        <w:t>4.</w:t>
      </w:r>
      <w:r>
        <w:rPr>
          <w:kern w:val="0"/>
          <w:szCs w:val="21"/>
          <w:highlight w:val="none"/>
        </w:rPr>
        <w:t>预算金额：</w:t>
      </w:r>
      <w:r>
        <w:rPr>
          <w:rFonts w:hint="eastAsia"/>
          <w:kern w:val="0"/>
          <w:szCs w:val="21"/>
          <w:highlight w:val="none"/>
        </w:rPr>
        <w:t>人民币贰佰捌拾伍万玖仟元整（¥2,859,000.00）</w:t>
      </w:r>
      <w:r>
        <w:rPr>
          <w:color w:val="4472C4"/>
          <w:kern w:val="0"/>
          <w:szCs w:val="21"/>
          <w:highlight w:val="none"/>
        </w:rPr>
        <w:t>。</w:t>
      </w:r>
    </w:p>
    <w:p>
      <w:pPr>
        <w:spacing w:line="312" w:lineRule="auto"/>
        <w:ind w:firstLine="420" w:firstLineChars="200"/>
        <w:jc w:val="left"/>
        <w:rPr>
          <w:color w:val="4472C4"/>
          <w:kern w:val="0"/>
          <w:szCs w:val="21"/>
          <w:highlight w:val="none"/>
        </w:rPr>
      </w:pPr>
      <w:r>
        <w:rPr>
          <w:rFonts w:hint="eastAsia"/>
          <w:kern w:val="0"/>
          <w:szCs w:val="21"/>
          <w:highlight w:val="none"/>
        </w:rPr>
        <w:t>5.</w:t>
      </w:r>
      <w:r>
        <w:rPr>
          <w:kern w:val="0"/>
          <w:szCs w:val="21"/>
          <w:highlight w:val="none"/>
        </w:rPr>
        <w:t>最高限价：</w:t>
      </w:r>
      <w:r>
        <w:rPr>
          <w:rFonts w:hint="eastAsia"/>
          <w:szCs w:val="21"/>
          <w:highlight w:val="none"/>
        </w:rPr>
        <w:t>与预算金额一致</w:t>
      </w:r>
    </w:p>
    <w:p>
      <w:pPr>
        <w:spacing w:line="312" w:lineRule="auto"/>
        <w:ind w:firstLine="420" w:firstLineChars="200"/>
        <w:jc w:val="left"/>
        <w:rPr>
          <w:rFonts w:hint="eastAsia"/>
          <w:kern w:val="0"/>
          <w:szCs w:val="21"/>
          <w:highlight w:val="none"/>
        </w:rPr>
      </w:pPr>
      <w:r>
        <w:rPr>
          <w:rFonts w:hint="eastAsia"/>
          <w:kern w:val="0"/>
          <w:szCs w:val="21"/>
          <w:highlight w:val="none"/>
        </w:rPr>
        <w:t>6.采购需求</w:t>
      </w:r>
      <w:r>
        <w:rPr>
          <w:kern w:val="0"/>
          <w:szCs w:val="21"/>
          <w:highlight w:val="none"/>
        </w:rPr>
        <w:t>：</w:t>
      </w:r>
      <w:r>
        <w:rPr>
          <w:rFonts w:hint="eastAsia"/>
          <w:kern w:val="0"/>
          <w:szCs w:val="21"/>
          <w:highlight w:val="none"/>
        </w:rPr>
        <w:t>南宁师范大学国家教育考试标准化考点建设项目设备采购一批：</w:t>
      </w:r>
    </w:p>
    <w:tbl>
      <w:tblPr>
        <w:tblStyle w:val="57"/>
        <w:tblW w:w="8360" w:type="dxa"/>
        <w:jc w:val="center"/>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320"/>
        <w:gridCol w:w="4337"/>
        <w:gridCol w:w="1320"/>
        <w:gridCol w:w="138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74" w:hRule="atLeast"/>
          <w:tblHeader/>
          <w:jc w:val="center"/>
        </w:trPr>
        <w:tc>
          <w:tcPr>
            <w:tcW w:w="1320" w:type="dxa"/>
            <w:noWrap w:val="0"/>
            <w:vAlign w:val="center"/>
          </w:tcPr>
          <w:p>
            <w:pPr>
              <w:spacing w:line="312" w:lineRule="auto"/>
              <w:jc w:val="center"/>
              <w:rPr>
                <w:b/>
                <w:szCs w:val="21"/>
                <w:highlight w:val="none"/>
              </w:rPr>
            </w:pPr>
            <w:r>
              <w:rPr>
                <w:rFonts w:hint="eastAsia"/>
                <w:b/>
                <w:szCs w:val="21"/>
                <w:highlight w:val="none"/>
              </w:rPr>
              <w:t>序号</w:t>
            </w:r>
          </w:p>
        </w:tc>
        <w:tc>
          <w:tcPr>
            <w:tcW w:w="4337" w:type="dxa"/>
            <w:noWrap w:val="0"/>
            <w:vAlign w:val="center"/>
          </w:tcPr>
          <w:p>
            <w:pPr>
              <w:spacing w:line="312" w:lineRule="auto"/>
              <w:jc w:val="center"/>
              <w:rPr>
                <w:b/>
                <w:szCs w:val="21"/>
                <w:highlight w:val="none"/>
              </w:rPr>
            </w:pPr>
            <w:r>
              <w:rPr>
                <w:b/>
                <w:szCs w:val="21"/>
                <w:highlight w:val="none"/>
              </w:rPr>
              <w:t>货物名称</w:t>
            </w:r>
          </w:p>
        </w:tc>
        <w:tc>
          <w:tcPr>
            <w:tcW w:w="1320" w:type="dxa"/>
            <w:noWrap w:val="0"/>
            <w:vAlign w:val="center"/>
          </w:tcPr>
          <w:p>
            <w:pPr>
              <w:spacing w:line="312" w:lineRule="auto"/>
              <w:jc w:val="center"/>
              <w:rPr>
                <w:b/>
                <w:szCs w:val="21"/>
                <w:highlight w:val="none"/>
              </w:rPr>
            </w:pPr>
            <w:r>
              <w:rPr>
                <w:b/>
                <w:szCs w:val="21"/>
                <w:highlight w:val="none"/>
              </w:rPr>
              <w:t>数量</w:t>
            </w:r>
          </w:p>
        </w:tc>
        <w:tc>
          <w:tcPr>
            <w:tcW w:w="1383" w:type="dxa"/>
            <w:noWrap w:val="0"/>
            <w:vAlign w:val="center"/>
          </w:tcPr>
          <w:p>
            <w:pPr>
              <w:spacing w:line="312" w:lineRule="auto"/>
              <w:jc w:val="center"/>
              <w:rPr>
                <w:b/>
                <w:szCs w:val="21"/>
                <w:highlight w:val="none"/>
              </w:rPr>
            </w:pPr>
            <w:r>
              <w:rPr>
                <w:b/>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4337" w:type="dxa"/>
            <w:noWrap w:val="0"/>
            <w:vAlign w:val="center"/>
          </w:tcPr>
          <w:p>
            <w:pPr>
              <w:widowControl/>
              <w:jc w:val="center"/>
              <w:rPr>
                <w:rFonts w:ascii="宋体" w:hAnsi="宋体" w:cs="宋体"/>
                <w:kern w:val="0"/>
                <w:szCs w:val="21"/>
                <w:highlight w:val="none"/>
              </w:rPr>
            </w:pPr>
            <w:r>
              <w:rPr>
                <w:szCs w:val="21"/>
                <w:highlight w:val="none"/>
              </w:rPr>
              <w:t>网络流媒体存储平台</w:t>
            </w:r>
          </w:p>
        </w:tc>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2</w:t>
            </w:r>
          </w:p>
        </w:tc>
        <w:tc>
          <w:tcPr>
            <w:tcW w:w="1383" w:type="dxa"/>
            <w:noWrap w:val="0"/>
            <w:vAlign w:val="center"/>
          </w:tcPr>
          <w:p>
            <w:pPr>
              <w:widowControl/>
              <w:jc w:val="center"/>
              <w:textAlignment w:val="center"/>
              <w:rPr>
                <w:kern w:val="0"/>
                <w:szCs w:val="21"/>
                <w:highlight w:val="none"/>
              </w:rPr>
            </w:pPr>
            <w:r>
              <w:rPr>
                <w:rFonts w:hint="eastAsia" w:ascii="宋体" w:hAnsi="宋体" w:cs="宋体"/>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2</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硬盘</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32</w:t>
            </w:r>
          </w:p>
        </w:tc>
        <w:tc>
          <w:tcPr>
            <w:tcW w:w="1383" w:type="dxa"/>
            <w:noWrap w:val="0"/>
            <w:vAlign w:val="center"/>
          </w:tcPr>
          <w:p>
            <w:pPr>
              <w:widowControl/>
              <w:jc w:val="center"/>
              <w:textAlignment w:val="center"/>
              <w:rPr>
                <w:kern w:val="0"/>
                <w:szCs w:val="21"/>
                <w:highlight w:val="none"/>
              </w:rPr>
            </w:pPr>
            <w:r>
              <w:rPr>
                <w:rFonts w:hint="eastAsia" w:ascii="宋体" w:hAnsi="宋体" w:cs="宋体"/>
                <w:kern w:val="0"/>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3</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szCs w:val="21"/>
                <w:highlight w:val="none"/>
              </w:rPr>
              <w:t>红外高清半球摄像机</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128</w:t>
            </w:r>
          </w:p>
        </w:tc>
        <w:tc>
          <w:tcPr>
            <w:tcW w:w="1383" w:type="dxa"/>
            <w:noWrap w:val="0"/>
            <w:vAlign w:val="center"/>
          </w:tcPr>
          <w:p>
            <w:pPr>
              <w:widowControl/>
              <w:jc w:val="center"/>
              <w:textAlignment w:val="center"/>
              <w:rPr>
                <w:kern w:val="0"/>
                <w:szCs w:val="21"/>
                <w:highlight w:val="none"/>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36" w:hRule="atLeast"/>
          <w:jc w:val="center"/>
        </w:trPr>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4</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音频采集器（拾音器）</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128</w:t>
            </w:r>
          </w:p>
        </w:tc>
        <w:tc>
          <w:tcPr>
            <w:tcW w:w="1383" w:type="dxa"/>
            <w:noWrap w:val="0"/>
            <w:vAlign w:val="center"/>
          </w:tcPr>
          <w:p>
            <w:pPr>
              <w:widowControl/>
              <w:jc w:val="center"/>
              <w:textAlignment w:val="center"/>
              <w:rPr>
                <w:kern w:val="0"/>
                <w:szCs w:val="21"/>
                <w:highlight w:val="none"/>
              </w:rPr>
            </w:pPr>
            <w:r>
              <w:rPr>
                <w:rFonts w:hint="eastAsia" w:ascii="宋体" w:hAnsi="宋体" w:cs="宋体"/>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3" w:hRule="atLeast"/>
          <w:jc w:val="center"/>
        </w:trPr>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5</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电源适配器</w:t>
            </w:r>
          </w:p>
        </w:tc>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128</w:t>
            </w:r>
          </w:p>
        </w:tc>
        <w:tc>
          <w:tcPr>
            <w:tcW w:w="1383" w:type="dxa"/>
            <w:noWrap w:val="0"/>
            <w:vAlign w:val="center"/>
          </w:tcPr>
          <w:p>
            <w:pPr>
              <w:widowControl/>
              <w:jc w:val="center"/>
              <w:textAlignment w:val="center"/>
              <w:rPr>
                <w:kern w:val="0"/>
                <w:szCs w:val="21"/>
                <w:highlight w:val="none"/>
              </w:rPr>
            </w:pPr>
            <w:r>
              <w:rPr>
                <w:rFonts w:hint="eastAsia" w:ascii="宋体" w:hAnsi="宋体" w:cs="宋体"/>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3"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6</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支架</w:t>
            </w:r>
          </w:p>
        </w:tc>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128</w:t>
            </w:r>
          </w:p>
        </w:tc>
        <w:tc>
          <w:tcPr>
            <w:tcW w:w="1383" w:type="dxa"/>
            <w:noWrap w:val="0"/>
            <w:vAlign w:val="center"/>
          </w:tcPr>
          <w:p>
            <w:pPr>
              <w:widowControl/>
              <w:jc w:val="center"/>
              <w:textAlignment w:val="center"/>
              <w:rPr>
                <w:kern w:val="0"/>
                <w:szCs w:val="21"/>
                <w:highlight w:val="none"/>
              </w:rPr>
            </w:pPr>
            <w:r>
              <w:rPr>
                <w:rFonts w:hint="eastAsia" w:ascii="宋体" w:hAnsi="宋体" w:cs="宋体"/>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3"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7</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配电箱</w:t>
            </w:r>
          </w:p>
        </w:tc>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128</w:t>
            </w:r>
          </w:p>
        </w:tc>
        <w:tc>
          <w:tcPr>
            <w:tcW w:w="1383" w:type="dxa"/>
            <w:noWrap w:val="0"/>
            <w:vAlign w:val="center"/>
          </w:tcPr>
          <w:p>
            <w:pPr>
              <w:widowControl/>
              <w:jc w:val="center"/>
              <w:textAlignment w:val="center"/>
              <w:rPr>
                <w:kern w:val="0"/>
                <w:szCs w:val="21"/>
                <w:highlight w:val="none"/>
              </w:rPr>
            </w:pPr>
            <w:r>
              <w:rPr>
                <w:rFonts w:hint="eastAsia" w:ascii="宋体" w:hAnsi="宋体" w:cs="宋体"/>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3"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8</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标考高清SIP转发管理三合一平台</w:t>
            </w:r>
          </w:p>
        </w:tc>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1383" w:type="dxa"/>
            <w:noWrap w:val="0"/>
            <w:vAlign w:val="center"/>
          </w:tcPr>
          <w:p>
            <w:pPr>
              <w:widowControl/>
              <w:jc w:val="center"/>
              <w:textAlignment w:val="center"/>
              <w:rPr>
                <w:kern w:val="0"/>
                <w:szCs w:val="21"/>
                <w:highlight w:val="none"/>
              </w:rPr>
            </w:pPr>
            <w:r>
              <w:rPr>
                <w:rFonts w:hint="eastAsia" w:ascii="宋体" w:hAnsi="宋体" w:cs="宋体"/>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3" w:hRule="atLeast"/>
          <w:jc w:val="center"/>
        </w:trPr>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9</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标准化考场教学管理平台</w:t>
            </w:r>
          </w:p>
        </w:tc>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1</w:t>
            </w:r>
          </w:p>
        </w:tc>
        <w:tc>
          <w:tcPr>
            <w:tcW w:w="1383" w:type="dxa"/>
            <w:noWrap w:val="0"/>
            <w:vAlign w:val="center"/>
          </w:tcPr>
          <w:p>
            <w:pPr>
              <w:widowControl/>
              <w:jc w:val="center"/>
              <w:textAlignment w:val="center"/>
              <w:rPr>
                <w:kern w:val="0"/>
                <w:szCs w:val="21"/>
                <w:highlight w:val="none"/>
              </w:rPr>
            </w:pPr>
            <w:r>
              <w:rPr>
                <w:rFonts w:hint="eastAsia" w:ascii="宋体" w:hAnsi="宋体" w:cs="宋体"/>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3" w:hRule="atLeast"/>
          <w:jc w:val="center"/>
        </w:trPr>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10</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液晶拼接单元</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6</w:t>
            </w:r>
          </w:p>
        </w:tc>
        <w:tc>
          <w:tcPr>
            <w:tcW w:w="1383" w:type="dxa"/>
            <w:noWrap w:val="0"/>
            <w:vAlign w:val="center"/>
          </w:tcPr>
          <w:p>
            <w:pPr>
              <w:widowControl/>
              <w:jc w:val="center"/>
              <w:textAlignment w:val="center"/>
              <w:rPr>
                <w:kern w:val="0"/>
                <w:szCs w:val="21"/>
                <w:highlight w:val="none"/>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3" w:hRule="atLeast"/>
          <w:jc w:val="center"/>
        </w:trPr>
        <w:tc>
          <w:tcPr>
            <w:tcW w:w="132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4337"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配套支架</w:t>
            </w:r>
          </w:p>
        </w:tc>
        <w:tc>
          <w:tcPr>
            <w:tcW w:w="132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1383" w:type="dxa"/>
            <w:noWrap w:val="0"/>
            <w:vAlign w:val="center"/>
          </w:tcPr>
          <w:p>
            <w:pPr>
              <w:widowControl/>
              <w:jc w:val="center"/>
              <w:textAlignment w:val="center"/>
              <w:rPr>
                <w:rFonts w:hint="eastAsia"/>
                <w:kern w:val="0"/>
                <w:szCs w:val="21"/>
                <w:highlight w:val="none"/>
              </w:rPr>
            </w:pPr>
            <w:r>
              <w:rPr>
                <w:rFonts w:hint="eastAsia" w:ascii="宋体" w:hAnsi="宋体" w:cs="宋体"/>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3" w:hRule="atLeast"/>
          <w:jc w:val="center"/>
        </w:trPr>
        <w:tc>
          <w:tcPr>
            <w:tcW w:w="132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4337"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标考高清电视墙管理平台</w:t>
            </w:r>
          </w:p>
        </w:tc>
        <w:tc>
          <w:tcPr>
            <w:tcW w:w="132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rFonts w:hint="eastAsia"/>
                <w:kern w:val="0"/>
                <w:szCs w:val="21"/>
                <w:highlight w:val="none"/>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3"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13</w:t>
            </w:r>
          </w:p>
        </w:tc>
        <w:tc>
          <w:tcPr>
            <w:tcW w:w="4337"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解码卡</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rPr>
            </w:pPr>
            <w:r>
              <w:rPr>
                <w:rFonts w:hint="eastAsia" w:ascii="宋体" w:hAnsi="宋体" w:cs="宋体"/>
                <w:kern w:val="0"/>
                <w:szCs w:val="21"/>
                <w:highlight w:val="none"/>
              </w:rPr>
              <w:t>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3"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14</w:t>
            </w:r>
          </w:p>
        </w:tc>
        <w:tc>
          <w:tcPr>
            <w:tcW w:w="4337"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电视墙主机（软件）</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rPr>
            </w:pPr>
            <w:r>
              <w:rPr>
                <w:rFonts w:hint="eastAsia" w:ascii="宋体" w:hAnsi="宋体" w:cs="宋体"/>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3"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15</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电视墙主机</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3"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16</w:t>
            </w:r>
          </w:p>
        </w:tc>
        <w:tc>
          <w:tcPr>
            <w:tcW w:w="4337" w:type="dxa"/>
            <w:noWrap w:val="0"/>
            <w:vAlign w:val="center"/>
          </w:tcPr>
          <w:p>
            <w:pPr>
              <w:jc w:val="center"/>
              <w:rPr>
                <w:rFonts w:ascii="宋体" w:hAnsi="宋体" w:cs="宋体"/>
                <w:kern w:val="0"/>
                <w:szCs w:val="21"/>
                <w:highlight w:val="none"/>
              </w:rPr>
            </w:pPr>
            <w:r>
              <w:rPr>
                <w:rFonts w:hint="eastAsia" w:ascii="宋体" w:hAnsi="宋体" w:cs="宋体"/>
                <w:kern w:val="0"/>
                <w:szCs w:val="21"/>
                <w:highlight w:val="none"/>
              </w:rPr>
              <w:t>身份验证终端</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50</w:t>
            </w:r>
          </w:p>
        </w:tc>
        <w:tc>
          <w:tcPr>
            <w:tcW w:w="1383" w:type="dxa"/>
            <w:noWrap w:val="0"/>
            <w:vAlign w:val="center"/>
          </w:tcPr>
          <w:p>
            <w:pPr>
              <w:widowControl/>
              <w:jc w:val="center"/>
              <w:textAlignment w:val="center"/>
              <w:rPr>
                <w:kern w:val="0"/>
                <w:szCs w:val="21"/>
                <w:highlight w:val="none"/>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17</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身份验证系统</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rPr>
            </w:pPr>
            <w:r>
              <w:rPr>
                <w:rFonts w:hint="eastAsia" w:ascii="宋体" w:hAnsi="宋体" w:cs="宋体"/>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18</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身份验证服务器</w:t>
            </w:r>
          </w:p>
        </w:tc>
        <w:tc>
          <w:tcPr>
            <w:tcW w:w="1320" w:type="dxa"/>
            <w:noWrap w:val="0"/>
            <w:vAlign w:val="center"/>
          </w:tcPr>
          <w:p>
            <w:pPr>
              <w:widowControl/>
              <w:jc w:val="center"/>
              <w:rPr>
                <w:rFonts w:ascii="宋体" w:hAnsi="宋体" w:cs="宋体"/>
                <w:kern w:val="0"/>
                <w:szCs w:val="21"/>
                <w:highlight w:val="none"/>
              </w:rPr>
            </w:pPr>
            <w:r>
              <w:rPr>
                <w:rFonts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19</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屏蔽器</w:t>
            </w:r>
          </w:p>
        </w:tc>
        <w:tc>
          <w:tcPr>
            <w:tcW w:w="1320" w:type="dxa"/>
            <w:noWrap w:val="0"/>
            <w:vAlign w:val="center"/>
          </w:tcPr>
          <w:p>
            <w:pPr>
              <w:widowControl/>
              <w:jc w:val="center"/>
              <w:rPr>
                <w:rFonts w:ascii="宋体" w:hAnsi="宋体" w:cs="宋体"/>
                <w:kern w:val="0"/>
                <w:szCs w:val="21"/>
                <w:highlight w:val="none"/>
              </w:rPr>
            </w:pPr>
            <w:r>
              <w:rPr>
                <w:rFonts w:ascii="宋体" w:hAnsi="宋体" w:cs="宋体"/>
                <w:kern w:val="0"/>
                <w:szCs w:val="21"/>
                <w:highlight w:val="none"/>
              </w:rPr>
              <w:t>126</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20</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金属探测仪（手持式）</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118</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21</w:t>
            </w:r>
          </w:p>
        </w:tc>
        <w:tc>
          <w:tcPr>
            <w:tcW w:w="4337" w:type="dxa"/>
            <w:noWrap w:val="0"/>
            <w:vAlign w:val="center"/>
          </w:tcPr>
          <w:p>
            <w:pPr>
              <w:widowControl/>
              <w:jc w:val="center"/>
              <w:rPr>
                <w:rFonts w:ascii="宋体" w:hAnsi="宋体"/>
                <w:kern w:val="0"/>
                <w:szCs w:val="21"/>
                <w:highlight w:val="none"/>
              </w:rPr>
            </w:pPr>
            <w:r>
              <w:rPr>
                <w:rFonts w:ascii="宋体" w:hAnsi="宋体"/>
                <w:kern w:val="0"/>
                <w:szCs w:val="21"/>
                <w:highlight w:val="none"/>
              </w:rPr>
              <w:t>UPS</w:t>
            </w:r>
            <w:r>
              <w:rPr>
                <w:rFonts w:hint="eastAsia" w:ascii="宋体" w:hAnsi="宋体"/>
                <w:kern w:val="0"/>
                <w:szCs w:val="21"/>
                <w:highlight w:val="none"/>
              </w:rPr>
              <w:t>主机</w:t>
            </w:r>
          </w:p>
        </w:tc>
        <w:tc>
          <w:tcPr>
            <w:tcW w:w="1320" w:type="dxa"/>
            <w:noWrap w:val="0"/>
            <w:vAlign w:val="center"/>
          </w:tcPr>
          <w:p>
            <w:pPr>
              <w:widowControl/>
              <w:jc w:val="center"/>
              <w:rPr>
                <w:rFonts w:ascii="宋体" w:hAnsi="宋体" w:cs="宋体"/>
                <w:kern w:val="0"/>
                <w:szCs w:val="21"/>
                <w:highlight w:val="none"/>
              </w:rPr>
            </w:pPr>
            <w:r>
              <w:rPr>
                <w:rFonts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22</w:t>
            </w:r>
          </w:p>
        </w:tc>
        <w:tc>
          <w:tcPr>
            <w:tcW w:w="4337" w:type="dxa"/>
            <w:noWrap w:val="0"/>
            <w:vAlign w:val="center"/>
          </w:tcPr>
          <w:p>
            <w:pPr>
              <w:widowControl/>
              <w:jc w:val="center"/>
              <w:rPr>
                <w:rFonts w:ascii="宋体" w:hAnsi="宋体"/>
                <w:kern w:val="0"/>
                <w:szCs w:val="21"/>
                <w:highlight w:val="none"/>
              </w:rPr>
            </w:pPr>
            <w:r>
              <w:rPr>
                <w:rFonts w:ascii="宋体" w:hAnsi="宋体"/>
                <w:kern w:val="0"/>
                <w:szCs w:val="21"/>
                <w:highlight w:val="none"/>
              </w:rPr>
              <w:t>UPS</w:t>
            </w:r>
            <w:r>
              <w:rPr>
                <w:rFonts w:hint="eastAsia" w:ascii="宋体" w:hAnsi="宋体"/>
                <w:kern w:val="0"/>
                <w:szCs w:val="21"/>
                <w:highlight w:val="none"/>
              </w:rPr>
              <w:t>电池</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32</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23</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电池箱</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24</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配电柜及电源线</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25</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汇聚交换机</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26</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szCs w:val="21"/>
                <w:highlight w:val="none"/>
              </w:rPr>
              <w:t>系统集成</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27</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网络广播中心</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28</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播放器</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29</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调谐器</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30</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网络化监听音箱</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31</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广播寻呼话筒</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32</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三十二路消防联动网络模块</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33</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时序电源控制器</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34</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机柜</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35</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系统工作站</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36</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平台融合软件</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37</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网络化智能寻呼站</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38</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播放器</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39</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前置放大器</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40</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纯后级广播功放</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4</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41</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主/备功放自动切换器</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42</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室内单红显示屏</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118</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43</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网络化室内音箱</w:t>
            </w:r>
          </w:p>
        </w:tc>
        <w:tc>
          <w:tcPr>
            <w:tcW w:w="132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128</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44</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网络化副音箱</w:t>
            </w:r>
          </w:p>
        </w:tc>
        <w:tc>
          <w:tcPr>
            <w:tcW w:w="132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128</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0" w:hRule="atLeast"/>
          <w:jc w:val="center"/>
        </w:trPr>
        <w:tc>
          <w:tcPr>
            <w:tcW w:w="1320" w:type="dxa"/>
            <w:noWrap w:val="0"/>
            <w:vAlign w:val="center"/>
          </w:tcPr>
          <w:p>
            <w:pPr>
              <w:jc w:val="center"/>
              <w:rPr>
                <w:rFonts w:ascii="宋体" w:hAnsi="宋体" w:cs="宋体"/>
                <w:szCs w:val="21"/>
                <w:highlight w:val="none"/>
              </w:rPr>
            </w:pPr>
            <w:r>
              <w:rPr>
                <w:rFonts w:hint="eastAsia" w:ascii="宋体" w:hAnsi="宋体" w:cs="宋体"/>
                <w:szCs w:val="21"/>
                <w:highlight w:val="none"/>
              </w:rPr>
              <w:t>45</w:t>
            </w:r>
          </w:p>
        </w:tc>
        <w:tc>
          <w:tcPr>
            <w:tcW w:w="4337"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系统集成</w:t>
            </w:r>
          </w:p>
        </w:tc>
        <w:tc>
          <w:tcPr>
            <w:tcW w:w="1320"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383" w:type="dxa"/>
            <w:noWrap w:val="0"/>
            <w:vAlign w:val="center"/>
          </w:tcPr>
          <w:p>
            <w:pPr>
              <w:widowControl/>
              <w:jc w:val="center"/>
              <w:textAlignment w:val="center"/>
              <w:rPr>
                <w:kern w:val="0"/>
                <w:szCs w:val="21"/>
                <w:highlight w:val="none"/>
                <w:lang w:bidi="ar"/>
              </w:rPr>
            </w:pPr>
            <w:r>
              <w:rPr>
                <w:rFonts w:hint="eastAsia" w:ascii="宋体" w:hAnsi="宋体" w:cs="宋体"/>
                <w:kern w:val="0"/>
                <w:szCs w:val="21"/>
                <w:highlight w:val="none"/>
              </w:rPr>
              <w:t>项</w:t>
            </w:r>
          </w:p>
        </w:tc>
      </w:tr>
    </w:tbl>
    <w:p>
      <w:pPr>
        <w:spacing w:line="312" w:lineRule="auto"/>
        <w:ind w:firstLine="420" w:firstLineChars="200"/>
        <w:jc w:val="left"/>
        <w:rPr>
          <w:color w:val="4472C4"/>
          <w:kern w:val="0"/>
          <w:szCs w:val="21"/>
          <w:highlight w:val="none"/>
        </w:rPr>
      </w:pPr>
    </w:p>
    <w:p>
      <w:pPr>
        <w:spacing w:line="312" w:lineRule="auto"/>
        <w:ind w:firstLine="420" w:firstLineChars="200"/>
        <w:jc w:val="left"/>
        <w:rPr>
          <w:kern w:val="0"/>
          <w:szCs w:val="21"/>
          <w:highlight w:val="none"/>
        </w:rPr>
      </w:pPr>
      <w:r>
        <w:rPr>
          <w:kern w:val="0"/>
          <w:szCs w:val="21"/>
          <w:highlight w:val="none"/>
        </w:rPr>
        <w:t>如需进一步了解详细内容，详见招标文件。</w:t>
      </w:r>
    </w:p>
    <w:p>
      <w:pPr>
        <w:spacing w:line="312" w:lineRule="auto"/>
        <w:ind w:firstLine="420" w:firstLineChars="200"/>
        <w:jc w:val="left"/>
        <w:rPr>
          <w:color w:val="auto"/>
          <w:kern w:val="0"/>
          <w:szCs w:val="21"/>
          <w:highlight w:val="none"/>
        </w:rPr>
      </w:pPr>
      <w:r>
        <w:rPr>
          <w:rFonts w:hint="eastAsia"/>
          <w:color w:val="auto"/>
          <w:kern w:val="0"/>
          <w:szCs w:val="21"/>
          <w:highlight w:val="none"/>
        </w:rPr>
        <w:t>7.合同履行期限：</w:t>
      </w:r>
      <w:r>
        <w:rPr>
          <w:color w:val="auto"/>
          <w:szCs w:val="21"/>
          <w:highlight w:val="none"/>
        </w:rPr>
        <w:t>中标人应在采购合同签定后30个日历日内交货并完成安装调试。</w:t>
      </w:r>
    </w:p>
    <w:p>
      <w:pPr>
        <w:spacing w:line="312" w:lineRule="auto"/>
        <w:ind w:firstLine="420" w:firstLineChars="200"/>
        <w:jc w:val="left"/>
        <w:rPr>
          <w:color w:val="auto"/>
          <w:kern w:val="0"/>
          <w:szCs w:val="21"/>
          <w:highlight w:val="none"/>
        </w:rPr>
      </w:pPr>
      <w:r>
        <w:rPr>
          <w:rFonts w:hint="eastAsia"/>
          <w:color w:val="auto"/>
          <w:kern w:val="0"/>
          <w:szCs w:val="21"/>
          <w:highlight w:val="none"/>
        </w:rPr>
        <w:t>8.</w:t>
      </w:r>
      <w:r>
        <w:rPr>
          <w:color w:val="auto"/>
          <w:kern w:val="0"/>
          <w:szCs w:val="21"/>
          <w:highlight w:val="none"/>
        </w:rPr>
        <w:t>本项目不接受联合体投标。</w:t>
      </w:r>
    </w:p>
    <w:p>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《中华人民共和国政府采购法》第二十二条规定；未被列入失信被执行人、重大税收违法案件当事人名单、政府采购严重违法失信行为记录名单。</w:t>
      </w:r>
    </w:p>
    <w:p>
      <w:pPr>
        <w:spacing w:line="312" w:lineRule="auto"/>
        <w:ind w:firstLine="420" w:firstLineChars="200"/>
        <w:jc w:val="left"/>
        <w:rPr>
          <w:color w:val="auto"/>
          <w:kern w:val="0"/>
          <w:szCs w:val="21"/>
          <w:highlight w:val="none"/>
        </w:rPr>
      </w:pPr>
      <w:r>
        <w:rPr>
          <w:rFonts w:hint="eastAsia"/>
          <w:color w:val="auto"/>
          <w:szCs w:val="21"/>
          <w:highlight w:val="none"/>
        </w:rPr>
        <w:t>2.落实政府采购政策需满足的资格要求：</w:t>
      </w:r>
      <w:r>
        <w:rPr>
          <w:rFonts w:hint="eastAsia"/>
          <w:color w:val="auto"/>
          <w:kern w:val="0"/>
          <w:szCs w:val="21"/>
          <w:highlight w:val="none"/>
        </w:rPr>
        <w:t>无。</w:t>
      </w:r>
    </w:p>
    <w:p>
      <w:pPr>
        <w:spacing w:line="312"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pPr>
        <w:spacing w:line="312" w:lineRule="auto"/>
        <w:ind w:firstLine="420" w:firstLineChars="200"/>
        <w:jc w:val="left"/>
        <w:rPr>
          <w:color w:val="auto"/>
          <w:kern w:val="0"/>
          <w:szCs w:val="21"/>
          <w:highlight w:val="none"/>
        </w:rPr>
      </w:pPr>
      <w:r>
        <w:rPr>
          <w:color w:val="auto"/>
          <w:kern w:val="0"/>
          <w:szCs w:val="21"/>
          <w:highlight w:val="none"/>
        </w:rPr>
        <w:t>（1）资质要求：无。</w:t>
      </w:r>
    </w:p>
    <w:p>
      <w:pPr>
        <w:spacing w:line="312" w:lineRule="auto"/>
        <w:ind w:firstLine="420" w:firstLineChars="200"/>
        <w:jc w:val="left"/>
        <w:rPr>
          <w:color w:val="auto"/>
          <w:kern w:val="0"/>
          <w:szCs w:val="21"/>
          <w:highlight w:val="none"/>
        </w:rPr>
      </w:pPr>
      <w:r>
        <w:rPr>
          <w:color w:val="auto"/>
          <w:kern w:val="0"/>
          <w:szCs w:val="21"/>
          <w:highlight w:val="none"/>
        </w:rPr>
        <w:t>（2）业绩要求：无。</w:t>
      </w:r>
    </w:p>
    <w:p>
      <w:pPr>
        <w:spacing w:line="312" w:lineRule="auto"/>
        <w:ind w:firstLine="420" w:firstLineChars="200"/>
        <w:jc w:val="left"/>
        <w:rPr>
          <w:color w:val="auto"/>
          <w:kern w:val="0"/>
          <w:szCs w:val="21"/>
          <w:highlight w:val="none"/>
        </w:rPr>
      </w:pPr>
      <w:r>
        <w:rPr>
          <w:color w:val="auto"/>
          <w:kern w:val="0"/>
          <w:szCs w:val="21"/>
          <w:highlight w:val="none"/>
        </w:rPr>
        <w:t>（3）其他要求：无。</w:t>
      </w:r>
    </w:p>
    <w:p>
      <w:pPr>
        <w:spacing w:line="312" w:lineRule="auto"/>
        <w:ind w:firstLine="420" w:firstLineChars="200"/>
        <w:jc w:val="left"/>
        <w:rPr>
          <w:kern w:val="0"/>
          <w:szCs w:val="21"/>
          <w:highlight w:val="none"/>
        </w:rPr>
      </w:pPr>
      <w:r>
        <w:rPr>
          <w:color w:val="auto"/>
          <w:kern w:val="0"/>
          <w:szCs w:val="21"/>
          <w:highlight w:val="none"/>
        </w:rPr>
        <w:t>4</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w:t>
      </w:r>
      <w:r>
        <w:rPr>
          <w:kern w:val="0"/>
          <w:szCs w:val="21"/>
          <w:highlight w:val="none"/>
        </w:rPr>
        <w:t>编制或者项目管理、监理、检测等服务的供应商，不得再参加</w:t>
      </w:r>
      <w:r>
        <w:rPr>
          <w:rFonts w:hint="eastAsia"/>
          <w:kern w:val="0"/>
          <w:szCs w:val="21"/>
          <w:highlight w:val="none"/>
        </w:rPr>
        <w:t>本</w:t>
      </w:r>
      <w:r>
        <w:rPr>
          <w:kern w:val="0"/>
          <w:szCs w:val="21"/>
          <w:highlight w:val="none"/>
        </w:rPr>
        <w:t>项目的采购活动</w:t>
      </w:r>
      <w:r>
        <w:rPr>
          <w:rFonts w:hint="eastAsia"/>
          <w:kern w:val="0"/>
          <w:szCs w:val="21"/>
          <w:highlight w:val="none"/>
        </w:rPr>
        <w:t>。</w:t>
      </w:r>
    </w:p>
    <w:p>
      <w:pPr>
        <w:spacing w:line="312" w:lineRule="auto"/>
        <w:ind w:firstLine="420" w:firstLineChars="200"/>
        <w:jc w:val="left"/>
        <w:rPr>
          <w:kern w:val="0"/>
          <w:szCs w:val="21"/>
          <w:highlight w:val="none"/>
        </w:rPr>
      </w:pPr>
      <w:r>
        <w:rPr>
          <w:kern w:val="0"/>
          <w:szCs w:val="21"/>
          <w:highlight w:val="none"/>
        </w:rPr>
        <w:t>5</w:t>
      </w:r>
      <w:r>
        <w:rPr>
          <w:rFonts w:hint="eastAsia"/>
          <w:kern w:val="0"/>
          <w:szCs w:val="21"/>
          <w:highlight w:val="none"/>
        </w:rPr>
        <w:t>.因违法经营受到刑事处罚或者责令停产停业、吊销许可证或者执照、较大数额罚款等行政处罚，或者存在财政部门认定的其他重大违法记录，以及在财政部门禁止参加政府采购活动期限以内的供应商不得参加本项目的投标。</w:t>
      </w:r>
    </w:p>
    <w:p>
      <w:pPr>
        <w:spacing w:line="312" w:lineRule="auto"/>
        <w:ind w:firstLine="420" w:firstLineChars="200"/>
        <w:jc w:val="left"/>
        <w:rPr>
          <w:kern w:val="0"/>
          <w:szCs w:val="21"/>
          <w:highlight w:val="none"/>
        </w:rPr>
      </w:pPr>
      <w:r>
        <w:rPr>
          <w:kern w:val="0"/>
          <w:szCs w:val="21"/>
          <w:highlight w:val="none"/>
        </w:rPr>
        <w:t>6</w:t>
      </w:r>
      <w:r>
        <w:rPr>
          <w:rFonts w:hint="eastAsia"/>
          <w:kern w:val="0"/>
          <w:szCs w:val="21"/>
          <w:highlight w:val="none"/>
        </w:rPr>
        <w:t>.</w:t>
      </w:r>
      <w:r>
        <w:rPr>
          <w:kern w:val="0"/>
          <w:szCs w:val="21"/>
          <w:highlight w:val="none"/>
        </w:rPr>
        <w:t>按照招标公告的规定获得招标文件。</w:t>
      </w:r>
    </w:p>
    <w:p>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三、获取招标文件</w:t>
      </w:r>
    </w:p>
    <w:p>
      <w:pPr>
        <w:spacing w:line="312" w:lineRule="auto"/>
        <w:ind w:firstLine="420" w:firstLineChars="200"/>
        <w:jc w:val="left"/>
        <w:rPr>
          <w:color w:val="auto"/>
          <w:highlight w:val="none"/>
        </w:rPr>
      </w:pPr>
      <w:bookmarkStart w:id="7" w:name="_Hlk19048251"/>
      <w:r>
        <w:rPr>
          <w:rFonts w:hint="eastAsia"/>
          <w:color w:val="auto"/>
          <w:highlight w:val="none"/>
        </w:rPr>
        <w:t>时间：</w:t>
      </w:r>
      <w:r>
        <w:rPr>
          <w:rFonts w:hint="eastAsia"/>
          <w:color w:val="auto"/>
          <w:highlight w:val="none"/>
          <w:u w:val="single"/>
        </w:rPr>
        <w:t>20</w:t>
      </w:r>
      <w:r>
        <w:rPr>
          <w:rFonts w:hint="eastAsia"/>
          <w:color w:val="auto"/>
          <w:highlight w:val="none"/>
          <w:u w:val="single"/>
          <w:lang w:val="en-US" w:eastAsia="zh-CN"/>
        </w:rPr>
        <w:t>20</w:t>
      </w:r>
      <w:r>
        <w:rPr>
          <w:rFonts w:hint="eastAsia"/>
          <w:color w:val="auto"/>
          <w:highlight w:val="none"/>
          <w:u w:val="single"/>
        </w:rPr>
        <w:t>年</w:t>
      </w:r>
      <w:r>
        <w:rPr>
          <w:rFonts w:hint="eastAsia"/>
          <w:color w:val="auto"/>
          <w:highlight w:val="none"/>
          <w:u w:val="single"/>
          <w:lang w:val="en-US" w:eastAsia="zh-CN"/>
        </w:rPr>
        <w:t>00</w:t>
      </w:r>
      <w:r>
        <w:rPr>
          <w:rFonts w:hint="eastAsia"/>
          <w:color w:val="auto"/>
          <w:highlight w:val="none"/>
          <w:u w:val="single"/>
        </w:rPr>
        <w:t>月</w:t>
      </w:r>
      <w:r>
        <w:rPr>
          <w:rFonts w:hint="eastAsia"/>
          <w:color w:val="auto"/>
          <w:highlight w:val="none"/>
          <w:u w:val="single"/>
          <w:lang w:val="en-US" w:eastAsia="zh-CN"/>
        </w:rPr>
        <w:t>00</w:t>
      </w:r>
      <w:r>
        <w:rPr>
          <w:rFonts w:hint="eastAsia"/>
          <w:color w:val="auto"/>
          <w:highlight w:val="none"/>
          <w:u w:val="single"/>
        </w:rPr>
        <w:t>日起至20</w:t>
      </w:r>
      <w:r>
        <w:rPr>
          <w:rFonts w:hint="eastAsia"/>
          <w:color w:val="auto"/>
          <w:highlight w:val="none"/>
          <w:u w:val="single"/>
          <w:lang w:val="en-US" w:eastAsia="zh-CN"/>
        </w:rPr>
        <w:t>20</w:t>
      </w:r>
      <w:r>
        <w:rPr>
          <w:rFonts w:hint="eastAsia"/>
          <w:color w:val="auto"/>
          <w:highlight w:val="none"/>
          <w:u w:val="single"/>
        </w:rPr>
        <w:t>年</w:t>
      </w:r>
      <w:r>
        <w:rPr>
          <w:rFonts w:hint="eastAsia"/>
          <w:color w:val="auto"/>
          <w:highlight w:val="none"/>
          <w:u w:val="single"/>
          <w:lang w:val="en-US" w:eastAsia="zh-CN"/>
        </w:rPr>
        <w:t>00</w:t>
      </w:r>
      <w:r>
        <w:rPr>
          <w:rFonts w:hint="eastAsia"/>
          <w:color w:val="auto"/>
          <w:highlight w:val="none"/>
          <w:u w:val="single"/>
        </w:rPr>
        <w:t>月</w:t>
      </w:r>
      <w:r>
        <w:rPr>
          <w:rFonts w:hint="eastAsia"/>
          <w:color w:val="auto"/>
          <w:highlight w:val="none"/>
          <w:u w:val="single"/>
          <w:lang w:val="en-US" w:eastAsia="zh-CN"/>
        </w:rPr>
        <w:t>00</w:t>
      </w:r>
      <w:r>
        <w:rPr>
          <w:rFonts w:hint="eastAsia"/>
          <w:color w:val="auto"/>
          <w:highlight w:val="none"/>
          <w:u w:val="single"/>
        </w:rPr>
        <w:t>日</w:t>
      </w:r>
      <w:r>
        <w:rPr>
          <w:rFonts w:hint="eastAsia"/>
          <w:color w:val="auto"/>
          <w:highlight w:val="none"/>
        </w:rPr>
        <w:t>，每天上午</w:t>
      </w:r>
      <w:r>
        <w:rPr>
          <w:rFonts w:hint="eastAsia"/>
          <w:color w:val="auto"/>
          <w:highlight w:val="none"/>
          <w:u w:val="single"/>
        </w:rPr>
        <w:t>08时30分至</w:t>
      </w:r>
      <w:r>
        <w:rPr>
          <w:color w:val="auto"/>
          <w:highlight w:val="none"/>
          <w:u w:val="single"/>
        </w:rPr>
        <w:t>12</w:t>
      </w:r>
      <w:r>
        <w:rPr>
          <w:rFonts w:hint="eastAsia"/>
          <w:color w:val="auto"/>
          <w:highlight w:val="none"/>
          <w:u w:val="single"/>
        </w:rPr>
        <w:t>时0</w:t>
      </w:r>
      <w:r>
        <w:rPr>
          <w:color w:val="auto"/>
          <w:highlight w:val="none"/>
          <w:u w:val="single"/>
        </w:rPr>
        <w:t>0</w:t>
      </w:r>
      <w:r>
        <w:rPr>
          <w:rFonts w:hint="eastAsia"/>
          <w:color w:val="auto"/>
          <w:highlight w:val="none"/>
          <w:u w:val="single"/>
        </w:rPr>
        <w:t>分，下午1</w:t>
      </w:r>
      <w:r>
        <w:rPr>
          <w:color w:val="auto"/>
          <w:highlight w:val="none"/>
          <w:u w:val="single"/>
        </w:rPr>
        <w:t>4</w:t>
      </w:r>
      <w:r>
        <w:rPr>
          <w:rFonts w:hint="eastAsia"/>
          <w:color w:val="auto"/>
          <w:highlight w:val="none"/>
          <w:u w:val="single"/>
        </w:rPr>
        <w:t>时3</w:t>
      </w:r>
      <w:r>
        <w:rPr>
          <w:color w:val="auto"/>
          <w:highlight w:val="none"/>
          <w:u w:val="single"/>
        </w:rPr>
        <w:t>0</w:t>
      </w:r>
      <w:r>
        <w:rPr>
          <w:rFonts w:hint="eastAsia"/>
          <w:color w:val="auto"/>
          <w:highlight w:val="none"/>
          <w:u w:val="single"/>
        </w:rPr>
        <w:t>分至17时30分</w:t>
      </w:r>
      <w:r>
        <w:rPr>
          <w:rFonts w:hint="eastAsia"/>
          <w:color w:val="auto"/>
          <w:highlight w:val="none"/>
        </w:rPr>
        <w:t>（北京时间，法定节假日除外）。</w:t>
      </w:r>
    </w:p>
    <w:p>
      <w:pPr>
        <w:spacing w:line="312" w:lineRule="auto"/>
        <w:ind w:firstLine="420" w:firstLineChars="200"/>
        <w:jc w:val="left"/>
        <w:rPr>
          <w:highlight w:val="none"/>
        </w:rPr>
      </w:pPr>
      <w:r>
        <w:rPr>
          <w:rFonts w:hint="eastAsia"/>
          <w:highlight w:val="none"/>
        </w:rPr>
        <w:t>地点：广西机电设备招标有限公司</w:t>
      </w:r>
    </w:p>
    <w:p>
      <w:pPr>
        <w:spacing w:line="312" w:lineRule="auto"/>
        <w:ind w:firstLine="420" w:firstLineChars="200"/>
        <w:jc w:val="left"/>
        <w:rPr>
          <w:highlight w:val="none"/>
        </w:rPr>
      </w:pPr>
      <w:r>
        <w:rPr>
          <w:rFonts w:hint="eastAsia"/>
          <w:highlight w:val="none"/>
        </w:rPr>
        <w:t>方式一：电子版招标文件 ，请潜在供应商于本公告有效期内登录精彩纵横电子交易平台(www.jczh100.com) 在线购买招标文件。</w:t>
      </w:r>
    </w:p>
    <w:p>
      <w:pPr>
        <w:spacing w:line="312" w:lineRule="auto"/>
        <w:ind w:firstLine="420" w:firstLineChars="200"/>
        <w:jc w:val="left"/>
        <w:rPr>
          <w:highlight w:val="none"/>
        </w:rPr>
      </w:pPr>
      <w:r>
        <w:rPr>
          <w:rFonts w:hint="eastAsia"/>
          <w:highlight w:val="none"/>
        </w:rPr>
        <w:t>方式二：现场版招标文件，请潜在供应商于本公告有效期内到获取招标文件地点购买招标文件，招标文件以电子邮件形式发送至投标人邮箱。</w:t>
      </w:r>
    </w:p>
    <w:p>
      <w:pPr>
        <w:spacing w:line="312" w:lineRule="auto"/>
        <w:ind w:firstLine="420" w:firstLineChars="200"/>
        <w:jc w:val="left"/>
        <w:rPr>
          <w:highlight w:val="none"/>
        </w:rPr>
      </w:pPr>
      <w:r>
        <w:rPr>
          <w:rFonts w:hint="eastAsia"/>
          <w:highlight w:val="none"/>
        </w:rPr>
        <w:t>售价：每套300元，售后不退。</w:t>
      </w:r>
    </w:p>
    <w:bookmarkEnd w:id="7"/>
    <w:p>
      <w:pPr>
        <w:spacing w:line="312" w:lineRule="auto"/>
        <w:ind w:firstLine="442" w:firstLineChars="200"/>
        <w:jc w:val="left"/>
        <w:rPr>
          <w:b/>
          <w:bCs/>
          <w:kern w:val="0"/>
          <w:sz w:val="22"/>
          <w:szCs w:val="22"/>
          <w:highlight w:val="none"/>
        </w:rPr>
      </w:pPr>
      <w:r>
        <w:rPr>
          <w:rFonts w:hint="eastAsia"/>
          <w:b/>
          <w:bCs/>
          <w:kern w:val="0"/>
          <w:sz w:val="22"/>
          <w:szCs w:val="22"/>
          <w:highlight w:val="none"/>
        </w:rPr>
        <w:t>四、提交投标文件截止时间、开标时间和地点</w:t>
      </w:r>
    </w:p>
    <w:p>
      <w:pPr>
        <w:spacing w:line="312" w:lineRule="auto"/>
        <w:ind w:firstLine="420" w:firstLineChars="200"/>
        <w:jc w:val="left"/>
        <w:rPr>
          <w:color w:val="auto"/>
          <w:kern w:val="0"/>
          <w:szCs w:val="21"/>
          <w:highlight w:val="none"/>
        </w:rPr>
      </w:pPr>
      <w:r>
        <w:rPr>
          <w:color w:val="auto"/>
          <w:kern w:val="0"/>
          <w:szCs w:val="21"/>
          <w:highlight w:val="none"/>
          <w:u w:val="single"/>
        </w:rPr>
        <w:t>20</w:t>
      </w:r>
      <w:r>
        <w:rPr>
          <w:rFonts w:hint="eastAsia"/>
          <w:color w:val="auto"/>
          <w:kern w:val="0"/>
          <w:szCs w:val="21"/>
          <w:highlight w:val="none"/>
          <w:u w:val="single"/>
          <w:lang w:val="en-US" w:eastAsia="zh-CN"/>
        </w:rPr>
        <w:t>20</w:t>
      </w:r>
      <w:r>
        <w:rPr>
          <w:color w:val="auto"/>
          <w:kern w:val="0"/>
          <w:szCs w:val="21"/>
          <w:highlight w:val="none"/>
          <w:u w:val="single"/>
        </w:rPr>
        <w:t>年</w:t>
      </w:r>
      <w:r>
        <w:rPr>
          <w:rFonts w:hint="eastAsia"/>
          <w:color w:val="auto"/>
          <w:kern w:val="0"/>
          <w:szCs w:val="21"/>
          <w:highlight w:val="none"/>
          <w:u w:val="single"/>
          <w:lang w:val="en-US" w:eastAsia="zh-CN"/>
        </w:rPr>
        <w:t>00</w:t>
      </w:r>
      <w:r>
        <w:rPr>
          <w:color w:val="auto"/>
          <w:kern w:val="0"/>
          <w:szCs w:val="21"/>
          <w:highlight w:val="none"/>
          <w:u w:val="single"/>
        </w:rPr>
        <w:t>月00日00时00分</w:t>
      </w:r>
      <w:r>
        <w:rPr>
          <w:rFonts w:hint="eastAsia"/>
          <w:color w:val="auto"/>
          <w:kern w:val="0"/>
          <w:szCs w:val="21"/>
          <w:highlight w:val="none"/>
        </w:rPr>
        <w:t>（北京时间）</w:t>
      </w:r>
    </w:p>
    <w:p>
      <w:pPr>
        <w:spacing w:line="312" w:lineRule="auto"/>
        <w:ind w:firstLine="420" w:firstLineChars="200"/>
        <w:jc w:val="left"/>
        <w:rPr>
          <w:kern w:val="0"/>
          <w:szCs w:val="21"/>
          <w:highlight w:val="none"/>
        </w:rPr>
      </w:pPr>
      <w:r>
        <w:rPr>
          <w:rFonts w:hint="eastAsia"/>
          <w:kern w:val="0"/>
          <w:szCs w:val="21"/>
          <w:highlight w:val="none"/>
        </w:rPr>
        <w:t>地点：</w:t>
      </w:r>
      <w:r>
        <w:rPr>
          <w:rFonts w:hint="eastAsia"/>
          <w:szCs w:val="21"/>
          <w:highlight w:val="none"/>
        </w:rPr>
        <w:t xml:space="preserve"> </w:t>
      </w:r>
      <w:r>
        <w:rPr>
          <w:kern w:val="0"/>
          <w:szCs w:val="21"/>
          <w:highlight w:val="none"/>
        </w:rPr>
        <w:t>广西机电设备招标有限公司</w:t>
      </w:r>
    </w:p>
    <w:p>
      <w:pPr>
        <w:spacing w:line="300" w:lineRule="exact"/>
        <w:ind w:firstLine="420" w:firstLineChars="200"/>
        <w:jc w:val="left"/>
        <w:rPr>
          <w:color w:val="auto"/>
          <w:kern w:val="0"/>
          <w:szCs w:val="21"/>
          <w:highlight w:val="none"/>
        </w:rPr>
      </w:pPr>
      <w:r>
        <w:rPr>
          <w:rFonts w:hint="eastAsia"/>
          <w:color w:val="auto"/>
          <w:kern w:val="0"/>
          <w:szCs w:val="21"/>
          <w:highlight w:val="none"/>
        </w:rPr>
        <w:t>递交方式：邮寄或现场方式，具体要求详见供应商须知前附表</w:t>
      </w:r>
    </w:p>
    <w:p>
      <w:pPr>
        <w:spacing w:line="312" w:lineRule="auto"/>
        <w:ind w:firstLine="442" w:firstLineChars="200"/>
        <w:jc w:val="left"/>
        <w:rPr>
          <w:b/>
          <w:bCs/>
          <w:kern w:val="0"/>
          <w:sz w:val="22"/>
          <w:szCs w:val="22"/>
          <w:highlight w:val="none"/>
        </w:rPr>
      </w:pPr>
      <w:r>
        <w:rPr>
          <w:rFonts w:hint="eastAsia"/>
          <w:b/>
          <w:bCs/>
          <w:kern w:val="0"/>
          <w:sz w:val="22"/>
          <w:szCs w:val="22"/>
          <w:highlight w:val="none"/>
        </w:rPr>
        <w:t>五、公告期限</w:t>
      </w:r>
    </w:p>
    <w:p>
      <w:pPr>
        <w:spacing w:line="312" w:lineRule="auto"/>
        <w:ind w:firstLine="420" w:firstLineChars="200"/>
        <w:jc w:val="left"/>
        <w:rPr>
          <w:kern w:val="0"/>
          <w:szCs w:val="21"/>
          <w:highlight w:val="none"/>
        </w:rPr>
      </w:pPr>
      <w:r>
        <w:rPr>
          <w:rFonts w:hint="eastAsia"/>
          <w:kern w:val="0"/>
          <w:szCs w:val="21"/>
          <w:highlight w:val="none"/>
        </w:rPr>
        <w:t>自本公告发布之日起5个工作日。</w:t>
      </w:r>
    </w:p>
    <w:p>
      <w:pPr>
        <w:spacing w:line="312" w:lineRule="auto"/>
        <w:ind w:firstLine="442" w:firstLineChars="200"/>
        <w:jc w:val="left"/>
        <w:rPr>
          <w:b/>
          <w:bCs/>
          <w:kern w:val="0"/>
          <w:sz w:val="22"/>
          <w:szCs w:val="22"/>
          <w:highlight w:val="none"/>
        </w:rPr>
      </w:pPr>
      <w:r>
        <w:rPr>
          <w:rFonts w:hint="eastAsia"/>
          <w:b/>
          <w:bCs/>
          <w:kern w:val="0"/>
          <w:sz w:val="22"/>
          <w:szCs w:val="22"/>
          <w:highlight w:val="none"/>
        </w:rPr>
        <w:t>六、其他补充事宜</w:t>
      </w:r>
    </w:p>
    <w:p>
      <w:pPr>
        <w:spacing w:line="312" w:lineRule="auto"/>
        <w:ind w:firstLine="420" w:firstLineChars="200"/>
        <w:jc w:val="left"/>
        <w:rPr>
          <w:color w:val="000000"/>
          <w:kern w:val="0"/>
          <w:szCs w:val="21"/>
          <w:highlight w:val="none"/>
        </w:rPr>
      </w:pPr>
      <w:r>
        <w:rPr>
          <w:rFonts w:hint="eastAsia"/>
          <w:kern w:val="0"/>
          <w:szCs w:val="21"/>
          <w:highlight w:val="none"/>
        </w:rPr>
        <w:t>1</w:t>
      </w:r>
      <w:r>
        <w:rPr>
          <w:kern w:val="0"/>
          <w:szCs w:val="21"/>
          <w:highlight w:val="none"/>
        </w:rPr>
        <w:t>.</w:t>
      </w:r>
      <w:r>
        <w:rPr>
          <w:rFonts w:hint="eastAsia"/>
          <w:kern w:val="0"/>
          <w:szCs w:val="21"/>
          <w:highlight w:val="none"/>
        </w:rPr>
        <w:t>公告发布媒体：广西壮族自治区政府采购网、中国政府采购网、</w:t>
      </w:r>
      <w:r>
        <w:rPr>
          <w:rFonts w:hint="eastAsia"/>
          <w:color w:val="000000"/>
          <w:kern w:val="0"/>
          <w:szCs w:val="21"/>
          <w:highlight w:val="none"/>
        </w:rPr>
        <w:t>精彩纵横电子交易平台</w:t>
      </w:r>
    </w:p>
    <w:p>
      <w:pPr>
        <w:spacing w:line="312" w:lineRule="auto"/>
        <w:ind w:firstLine="420" w:firstLineChars="200"/>
        <w:jc w:val="left"/>
        <w:rPr>
          <w:kern w:val="0"/>
          <w:szCs w:val="21"/>
          <w:highlight w:val="none"/>
        </w:rPr>
      </w:pPr>
      <w:r>
        <w:rPr>
          <w:rFonts w:hint="eastAsia"/>
          <w:color w:val="000000"/>
          <w:kern w:val="0"/>
          <w:szCs w:val="21"/>
          <w:highlight w:val="none"/>
        </w:rPr>
        <w:t>2</w:t>
      </w:r>
      <w:r>
        <w:rPr>
          <w:color w:val="000000"/>
          <w:kern w:val="0"/>
          <w:szCs w:val="21"/>
          <w:highlight w:val="none"/>
        </w:rPr>
        <w:t>.</w:t>
      </w:r>
      <w:bookmarkStart w:id="8" w:name="_Hlk48145640"/>
      <w:r>
        <w:rPr>
          <w:rFonts w:hint="eastAsia"/>
          <w:kern w:val="0"/>
          <w:szCs w:val="21"/>
          <w:highlight w:val="none"/>
        </w:rPr>
        <w:t>需落实的政府采购政策：</w:t>
      </w:r>
      <w:bookmarkEnd w:id="8"/>
      <w:r>
        <w:rPr>
          <w:kern w:val="0"/>
          <w:szCs w:val="21"/>
          <w:highlight w:val="none"/>
        </w:rPr>
        <w:t>本项目适用政府采购促进中小企业、监狱企业发展、促进残疾人就业、节能环保及广西工业产品产销</w:t>
      </w:r>
      <w:r>
        <w:rPr>
          <w:rFonts w:hint="eastAsia"/>
          <w:kern w:val="0"/>
          <w:szCs w:val="21"/>
          <w:highlight w:val="none"/>
        </w:rPr>
        <w:t>、</w:t>
      </w:r>
      <w:r>
        <w:rPr>
          <w:szCs w:val="21"/>
          <w:highlight w:val="none"/>
        </w:rPr>
        <w:t>信息安全产品</w:t>
      </w:r>
      <w:r>
        <w:rPr>
          <w:rFonts w:hint="eastAsia"/>
          <w:kern w:val="0"/>
          <w:szCs w:val="21"/>
          <w:highlight w:val="none"/>
        </w:rPr>
        <w:t>、支持攻坚扶贫</w:t>
      </w:r>
      <w:r>
        <w:rPr>
          <w:kern w:val="0"/>
          <w:szCs w:val="21"/>
          <w:highlight w:val="none"/>
        </w:rPr>
        <w:t>等有关政策，具体详见招标文件。</w:t>
      </w:r>
    </w:p>
    <w:p>
      <w:pPr>
        <w:spacing w:line="312" w:lineRule="auto"/>
        <w:ind w:firstLine="420" w:firstLineChars="200"/>
        <w:rPr>
          <w:kern w:val="0"/>
          <w:szCs w:val="21"/>
          <w:highlight w:val="none"/>
        </w:rPr>
      </w:pPr>
      <w:r>
        <w:rPr>
          <w:rFonts w:hint="eastAsia"/>
          <w:kern w:val="0"/>
          <w:szCs w:val="21"/>
          <w:highlight w:val="none"/>
        </w:rPr>
        <w:t>3</w:t>
      </w:r>
      <w:r>
        <w:rPr>
          <w:kern w:val="0"/>
          <w:szCs w:val="21"/>
          <w:highlight w:val="none"/>
        </w:rPr>
        <w:t>.</w:t>
      </w:r>
      <w:r>
        <w:rPr>
          <w:rFonts w:hint="eastAsia"/>
          <w:kern w:val="0"/>
          <w:szCs w:val="21"/>
          <w:highlight w:val="none"/>
        </w:rPr>
        <w:t>注意事项：</w:t>
      </w:r>
    </w:p>
    <w:p>
      <w:pPr>
        <w:spacing w:line="312" w:lineRule="auto"/>
        <w:ind w:firstLine="420" w:firstLineChars="200"/>
        <w:rPr>
          <w:szCs w:val="21"/>
          <w:highlight w:val="none"/>
        </w:rPr>
      </w:pPr>
      <w:r>
        <w:rPr>
          <w:rFonts w:hint="eastAsia"/>
          <w:szCs w:val="21"/>
          <w:highlight w:val="none"/>
        </w:rPr>
        <w:t>（1）本项目采用</w:t>
      </w:r>
      <w:r>
        <w:rPr>
          <w:rFonts w:hint="eastAsia"/>
          <w:szCs w:val="21"/>
          <w:highlight w:val="none"/>
          <w:lang w:eastAsia="zh-CN"/>
        </w:rPr>
        <w:t>半</w:t>
      </w:r>
      <w:r>
        <w:rPr>
          <w:rFonts w:hint="eastAsia"/>
          <w:szCs w:val="21"/>
          <w:highlight w:val="none"/>
        </w:rPr>
        <w:t>流程电子交易系统（精彩纵横电子交易平台）开展相关业务，潜在投标人可通过电子交易系统完成全流程在线投标业务（具体以投标人须知规定为准）。潜在投标人参加本项目前需要在电子交易系统进行注册，注册完成后即可在线购买及下载采购文件。注册流程请详细阅读精彩纵横电子交易平台（</w:t>
      </w:r>
      <w:r>
        <w:rPr>
          <w:szCs w:val="21"/>
          <w:highlight w:val="none"/>
        </w:rPr>
        <w:t>www.jczh100.com</w:t>
      </w:r>
      <w:r>
        <w:rPr>
          <w:rFonts w:hint="eastAsia"/>
          <w:szCs w:val="21"/>
          <w:highlight w:val="none"/>
        </w:rPr>
        <w:t>）首页“通知公告”栏目的《精彩纵横电子交易平台用户注册及CA数字证书办理说明》。</w:t>
      </w:r>
    </w:p>
    <w:p>
      <w:pPr>
        <w:spacing w:line="312" w:lineRule="auto"/>
        <w:ind w:firstLine="420" w:firstLineChars="200"/>
        <w:rPr>
          <w:szCs w:val="21"/>
          <w:highlight w:val="none"/>
        </w:rPr>
      </w:pPr>
      <w:r>
        <w:rPr>
          <w:rFonts w:hint="eastAsia"/>
          <w:szCs w:val="21"/>
          <w:highlight w:val="none"/>
        </w:rPr>
        <w:t>（2）精彩纵横电子交易平台首页提供操作指南，投标人可以根据首页轮播图右侧的“我是投标人”栏目中的副栏目“操作指南”中的内容下载并根据操作手册提示进行信息注册、CA证书办理、下载文件及参加投标。投标人在使用平台或系统过程中遇到涉及使用的任何问题，也可致电精彩纵横电子交易平台技术支持热线咨询，联系方式：</w:t>
      </w:r>
      <w:r>
        <w:rPr>
          <w:szCs w:val="21"/>
          <w:highlight w:val="none"/>
        </w:rPr>
        <w:t>0771-5828239</w:t>
      </w:r>
      <w:r>
        <w:rPr>
          <w:rFonts w:hint="eastAsia"/>
          <w:szCs w:val="21"/>
          <w:highlight w:val="none"/>
        </w:rPr>
        <w:t>，</w:t>
      </w:r>
      <w:r>
        <w:rPr>
          <w:szCs w:val="21"/>
          <w:highlight w:val="none"/>
        </w:rPr>
        <w:t>400-8566-100</w:t>
      </w:r>
      <w:r>
        <w:rPr>
          <w:rStyle w:val="56"/>
          <w:rFonts w:hint="eastAsia"/>
          <w:highlight w:val="none"/>
        </w:rPr>
        <w:t>，</w:t>
      </w:r>
      <w:r>
        <w:rPr>
          <w:szCs w:val="21"/>
          <w:highlight w:val="none"/>
        </w:rPr>
        <w:t>QQ</w:t>
      </w:r>
      <w:r>
        <w:rPr>
          <w:rFonts w:hint="eastAsia"/>
          <w:szCs w:val="21"/>
          <w:highlight w:val="none"/>
        </w:rPr>
        <w:t>：</w:t>
      </w:r>
      <w:r>
        <w:rPr>
          <w:szCs w:val="21"/>
          <w:highlight w:val="none"/>
        </w:rPr>
        <w:t>1947199855</w:t>
      </w:r>
      <w:r>
        <w:rPr>
          <w:rStyle w:val="56"/>
          <w:rFonts w:hint="eastAsia"/>
          <w:highlight w:val="none"/>
        </w:rPr>
        <w:t>，</w:t>
      </w:r>
      <w:r>
        <w:rPr>
          <w:rFonts w:hint="eastAsia"/>
          <w:szCs w:val="21"/>
          <w:highlight w:val="none"/>
        </w:rPr>
        <w:t>电子邮件：</w:t>
      </w:r>
      <w:r>
        <w:rPr>
          <w:highlight w:val="none"/>
        </w:rPr>
        <w:fldChar w:fldCharType="begin"/>
      </w:r>
      <w:r>
        <w:rPr>
          <w:highlight w:val="none"/>
        </w:rPr>
        <w:instrText xml:space="preserve"> HYPERLINK "mailto:gxjczh100@163.com" </w:instrText>
      </w:r>
      <w:r>
        <w:rPr>
          <w:highlight w:val="none"/>
        </w:rPr>
        <w:fldChar w:fldCharType="separate"/>
      </w:r>
      <w:r>
        <w:rPr>
          <w:szCs w:val="21"/>
          <w:highlight w:val="none"/>
        </w:rPr>
        <w:t>gxjczh100@163.com</w:t>
      </w:r>
      <w:r>
        <w:rPr>
          <w:szCs w:val="21"/>
          <w:highlight w:val="none"/>
        </w:rPr>
        <w:fldChar w:fldCharType="end"/>
      </w:r>
      <w:r>
        <w:rPr>
          <w:rFonts w:hint="eastAsia"/>
          <w:szCs w:val="21"/>
          <w:highlight w:val="none"/>
        </w:rPr>
        <w:t>。同时可在精彩纵横电子交易平台首页轮播图右侧 “我是投标人”副栏目——“操作指南”</w:t>
      </w:r>
      <w:r>
        <w:rPr>
          <w:szCs w:val="21"/>
          <w:highlight w:val="none"/>
        </w:rPr>
        <w:t>——</w:t>
      </w:r>
      <w:r>
        <w:rPr>
          <w:rFonts w:hint="eastAsia"/>
          <w:szCs w:val="21"/>
          <w:highlight w:val="none"/>
        </w:rPr>
        <w:t>“投标指南”查看电子交易系统使用培训视频。</w:t>
      </w:r>
    </w:p>
    <w:p>
      <w:pPr>
        <w:spacing w:line="312" w:lineRule="auto"/>
        <w:ind w:firstLine="442" w:firstLineChars="200"/>
        <w:jc w:val="left"/>
        <w:rPr>
          <w:b/>
          <w:bCs/>
          <w:kern w:val="0"/>
          <w:sz w:val="22"/>
          <w:szCs w:val="22"/>
          <w:highlight w:val="none"/>
        </w:rPr>
      </w:pPr>
      <w:r>
        <w:rPr>
          <w:rFonts w:hint="eastAsia"/>
          <w:b/>
          <w:bCs/>
          <w:kern w:val="0"/>
          <w:sz w:val="22"/>
          <w:szCs w:val="22"/>
          <w:highlight w:val="none"/>
        </w:rPr>
        <w:t>七、对本次招标提出询问，请按以下方式联系</w:t>
      </w:r>
    </w:p>
    <w:p>
      <w:pPr>
        <w:spacing w:line="312" w:lineRule="auto"/>
        <w:ind w:firstLine="420" w:firstLineChars="200"/>
        <w:jc w:val="left"/>
        <w:rPr>
          <w:kern w:val="0"/>
          <w:szCs w:val="21"/>
          <w:highlight w:val="none"/>
        </w:rPr>
      </w:pPr>
      <w:r>
        <w:rPr>
          <w:rFonts w:hint="eastAsia"/>
          <w:kern w:val="0"/>
          <w:szCs w:val="21"/>
          <w:highlight w:val="none"/>
        </w:rPr>
        <w:t>1.采购人信息</w:t>
      </w:r>
    </w:p>
    <w:p>
      <w:pPr>
        <w:spacing w:line="312" w:lineRule="auto"/>
        <w:ind w:firstLine="420" w:firstLineChars="200"/>
        <w:jc w:val="left"/>
        <w:rPr>
          <w:rFonts w:hint="eastAsia"/>
          <w:kern w:val="0"/>
          <w:szCs w:val="21"/>
          <w:highlight w:val="none"/>
          <w:u w:val="single"/>
        </w:rPr>
      </w:pPr>
      <w:bookmarkStart w:id="9" w:name="_Hlk19048373"/>
      <w:r>
        <w:rPr>
          <w:rFonts w:hint="eastAsia"/>
          <w:kern w:val="0"/>
          <w:szCs w:val="21"/>
          <w:highlight w:val="none"/>
        </w:rPr>
        <w:t>名称</w:t>
      </w:r>
      <w:r>
        <w:rPr>
          <w:kern w:val="0"/>
          <w:szCs w:val="21"/>
          <w:highlight w:val="none"/>
        </w:rPr>
        <w:t>：</w:t>
      </w:r>
      <w:r>
        <w:rPr>
          <w:rFonts w:hint="eastAsia"/>
          <w:kern w:val="0"/>
          <w:szCs w:val="21"/>
          <w:highlight w:val="none"/>
          <w:u w:val="single"/>
        </w:rPr>
        <w:t>南宁师范大学</w:t>
      </w:r>
    </w:p>
    <w:p>
      <w:pPr>
        <w:spacing w:line="312" w:lineRule="auto"/>
        <w:ind w:firstLine="420" w:firstLineChars="200"/>
        <w:jc w:val="left"/>
        <w:rPr>
          <w:kern w:val="0"/>
          <w:szCs w:val="21"/>
          <w:highlight w:val="none"/>
          <w:u w:val="single"/>
        </w:rPr>
      </w:pPr>
      <w:r>
        <w:rPr>
          <w:kern w:val="0"/>
          <w:szCs w:val="21"/>
          <w:highlight w:val="none"/>
        </w:rPr>
        <w:t>地址：</w:t>
      </w:r>
      <w:r>
        <w:rPr>
          <w:rFonts w:hint="eastAsia"/>
          <w:kern w:val="0"/>
          <w:szCs w:val="21"/>
          <w:highlight w:val="none"/>
          <w:u w:val="single"/>
        </w:rPr>
        <w:t>南宁市明秀东路175号</w:t>
      </w:r>
    </w:p>
    <w:p>
      <w:pPr>
        <w:spacing w:line="312" w:lineRule="auto"/>
        <w:ind w:firstLine="420" w:firstLineChars="200"/>
        <w:jc w:val="left"/>
        <w:rPr>
          <w:kern w:val="0"/>
          <w:szCs w:val="21"/>
          <w:highlight w:val="none"/>
          <w:u w:val="single"/>
        </w:rPr>
      </w:pPr>
      <w:r>
        <w:rPr>
          <w:kern w:val="0"/>
          <w:szCs w:val="21"/>
          <w:highlight w:val="none"/>
        </w:rPr>
        <w:t>联系</w:t>
      </w:r>
      <w:r>
        <w:rPr>
          <w:rFonts w:hint="eastAsia"/>
          <w:kern w:val="0"/>
          <w:szCs w:val="21"/>
          <w:highlight w:val="none"/>
        </w:rPr>
        <w:t>方式</w:t>
      </w:r>
      <w:r>
        <w:rPr>
          <w:kern w:val="0"/>
          <w:szCs w:val="21"/>
          <w:highlight w:val="none"/>
        </w:rPr>
        <w:t>：</w:t>
      </w:r>
      <w:r>
        <w:rPr>
          <w:kern w:val="0"/>
          <w:szCs w:val="21"/>
          <w:highlight w:val="none"/>
          <w:u w:val="single"/>
        </w:rPr>
        <w:t>汪老师</w:t>
      </w:r>
      <w:r>
        <w:rPr>
          <w:rFonts w:hint="eastAsia"/>
          <w:kern w:val="0"/>
          <w:szCs w:val="21"/>
          <w:highlight w:val="none"/>
          <w:u w:val="single"/>
        </w:rPr>
        <w:t>0771-3908051</w:t>
      </w:r>
    </w:p>
    <w:p>
      <w:pPr>
        <w:spacing w:line="312" w:lineRule="auto"/>
        <w:ind w:firstLine="420" w:firstLineChars="200"/>
        <w:jc w:val="left"/>
        <w:rPr>
          <w:kern w:val="0"/>
          <w:szCs w:val="21"/>
          <w:highlight w:val="none"/>
        </w:rPr>
      </w:pPr>
      <w:r>
        <w:rPr>
          <w:rFonts w:hint="eastAsia"/>
          <w:kern w:val="0"/>
          <w:szCs w:val="21"/>
          <w:highlight w:val="none"/>
        </w:rPr>
        <w:t>2.采购代理机构信息</w:t>
      </w:r>
      <w:bookmarkStart w:id="85" w:name="_GoBack"/>
      <w:bookmarkEnd w:id="85"/>
    </w:p>
    <w:p>
      <w:pPr>
        <w:spacing w:line="312" w:lineRule="auto"/>
        <w:ind w:firstLine="420" w:firstLineChars="200"/>
        <w:jc w:val="left"/>
        <w:rPr>
          <w:kern w:val="0"/>
          <w:szCs w:val="21"/>
          <w:highlight w:val="none"/>
          <w:u w:val="single"/>
        </w:rPr>
      </w:pPr>
      <w:r>
        <w:rPr>
          <w:rFonts w:hint="eastAsia"/>
          <w:kern w:val="0"/>
          <w:szCs w:val="21"/>
          <w:highlight w:val="none"/>
        </w:rPr>
        <w:t>名称</w:t>
      </w:r>
      <w:r>
        <w:rPr>
          <w:kern w:val="0"/>
          <w:szCs w:val="21"/>
          <w:highlight w:val="none"/>
        </w:rPr>
        <w:t>：</w:t>
      </w:r>
      <w:r>
        <w:rPr>
          <w:kern w:val="0"/>
          <w:szCs w:val="21"/>
          <w:highlight w:val="none"/>
          <w:u w:val="single"/>
        </w:rPr>
        <w:t>广西机电设备招标有限公司</w:t>
      </w:r>
    </w:p>
    <w:p>
      <w:pPr>
        <w:spacing w:line="312" w:lineRule="auto"/>
        <w:ind w:firstLine="420" w:firstLineChars="200"/>
        <w:jc w:val="left"/>
        <w:rPr>
          <w:kern w:val="0"/>
          <w:szCs w:val="21"/>
          <w:highlight w:val="none"/>
          <w:u w:val="single"/>
        </w:rPr>
      </w:pPr>
      <w:r>
        <w:rPr>
          <w:kern w:val="0"/>
          <w:szCs w:val="21"/>
          <w:highlight w:val="none"/>
        </w:rPr>
        <w:t>地址：</w:t>
      </w:r>
      <w:r>
        <w:rPr>
          <w:highlight w:val="none"/>
          <w:u w:val="single"/>
        </w:rPr>
        <w:t>广西南宁市金湖路63号金源CBD现代城B座7层701</w:t>
      </w:r>
    </w:p>
    <w:p>
      <w:pPr>
        <w:spacing w:line="312" w:lineRule="auto"/>
        <w:ind w:firstLine="420" w:firstLineChars="200"/>
        <w:jc w:val="left"/>
        <w:rPr>
          <w:color w:val="4472C4"/>
          <w:kern w:val="0"/>
          <w:szCs w:val="21"/>
          <w:highlight w:val="none"/>
          <w:u w:val="single"/>
        </w:rPr>
      </w:pPr>
      <w:r>
        <w:rPr>
          <w:rFonts w:hint="eastAsia"/>
          <w:kern w:val="0"/>
          <w:szCs w:val="21"/>
          <w:highlight w:val="none"/>
        </w:rPr>
        <w:t>联系方式：</w:t>
      </w:r>
      <w:r>
        <w:rPr>
          <w:kern w:val="0"/>
          <w:szCs w:val="21"/>
          <w:highlight w:val="none"/>
          <w:u w:val="single"/>
        </w:rPr>
        <w:t xml:space="preserve"> </w:t>
      </w:r>
      <w:r>
        <w:rPr>
          <w:rFonts w:hint="eastAsia"/>
          <w:kern w:val="0"/>
          <w:szCs w:val="21"/>
          <w:highlight w:val="none"/>
          <w:u w:val="single"/>
        </w:rPr>
        <w:t>0771-2808981</w:t>
      </w:r>
      <w:r>
        <w:rPr>
          <w:kern w:val="0"/>
          <w:szCs w:val="21"/>
          <w:highlight w:val="none"/>
        </w:rPr>
        <w:t xml:space="preserve"> </w:t>
      </w:r>
    </w:p>
    <w:p>
      <w:pPr>
        <w:spacing w:line="312" w:lineRule="auto"/>
        <w:ind w:firstLine="420" w:firstLineChars="200"/>
        <w:jc w:val="left"/>
        <w:rPr>
          <w:kern w:val="0"/>
          <w:szCs w:val="21"/>
          <w:highlight w:val="none"/>
        </w:rPr>
      </w:pPr>
      <w:r>
        <w:rPr>
          <w:rFonts w:hint="eastAsia"/>
          <w:kern w:val="0"/>
          <w:szCs w:val="21"/>
          <w:highlight w:val="none"/>
        </w:rPr>
        <w:t>3.项目联系方式</w:t>
      </w:r>
    </w:p>
    <w:p>
      <w:pPr>
        <w:spacing w:line="312" w:lineRule="auto"/>
        <w:ind w:firstLine="420" w:firstLineChars="200"/>
        <w:jc w:val="left"/>
        <w:rPr>
          <w:rFonts w:hint="eastAsia" w:eastAsia="宋体"/>
          <w:kern w:val="0"/>
          <w:szCs w:val="21"/>
          <w:highlight w:val="none"/>
          <w:u w:val="single"/>
          <w:lang w:eastAsia="zh-CN"/>
        </w:rPr>
      </w:pPr>
      <w:r>
        <w:rPr>
          <w:kern w:val="0"/>
          <w:szCs w:val="21"/>
          <w:highlight w:val="none"/>
        </w:rPr>
        <w:t>项目联系人：</w:t>
      </w:r>
      <w:r>
        <w:rPr>
          <w:rFonts w:hint="eastAsia"/>
          <w:kern w:val="0"/>
          <w:szCs w:val="21"/>
          <w:highlight w:val="none"/>
          <w:u w:val="single"/>
        </w:rPr>
        <w:t>张昊、谭玉华、</w:t>
      </w:r>
      <w:r>
        <w:rPr>
          <w:rFonts w:hint="eastAsia"/>
          <w:kern w:val="0"/>
          <w:szCs w:val="21"/>
          <w:highlight w:val="none"/>
          <w:u w:val="single"/>
          <w:lang w:eastAsia="zh-CN"/>
        </w:rPr>
        <w:t>刘颖俊</w:t>
      </w:r>
    </w:p>
    <w:p>
      <w:pPr>
        <w:spacing w:line="312" w:lineRule="auto"/>
        <w:ind w:firstLine="420" w:firstLineChars="200"/>
        <w:jc w:val="left"/>
        <w:rPr>
          <w:kern w:val="0"/>
          <w:szCs w:val="21"/>
          <w:highlight w:val="none"/>
          <w:u w:val="single"/>
        </w:rPr>
      </w:pPr>
      <w:r>
        <w:rPr>
          <w:kern w:val="0"/>
          <w:szCs w:val="21"/>
          <w:highlight w:val="none"/>
        </w:rPr>
        <w:t>电话：</w:t>
      </w:r>
      <w:r>
        <w:rPr>
          <w:rFonts w:hint="eastAsia"/>
          <w:kern w:val="0"/>
          <w:szCs w:val="21"/>
          <w:highlight w:val="none"/>
          <w:u w:val="single"/>
        </w:rPr>
        <w:t>0771-2808981</w:t>
      </w:r>
    </w:p>
    <w:p>
      <w:pPr>
        <w:spacing w:line="312" w:lineRule="auto"/>
        <w:ind w:firstLine="420" w:firstLineChars="200"/>
        <w:jc w:val="left"/>
        <w:rPr>
          <w:color w:val="4472C4"/>
          <w:kern w:val="0"/>
          <w:szCs w:val="21"/>
          <w:highlight w:val="none"/>
          <w:u w:val="single"/>
        </w:rPr>
      </w:pPr>
      <w:r>
        <w:rPr>
          <w:kern w:val="0"/>
          <w:szCs w:val="21"/>
          <w:highlight w:val="none"/>
        </w:rPr>
        <w:t>邮箱：</w:t>
      </w:r>
      <w:r>
        <w:rPr>
          <w:kern w:val="0"/>
          <w:szCs w:val="21"/>
          <w:highlight w:val="none"/>
          <w:u w:val="single"/>
        </w:rPr>
        <w:fldChar w:fldCharType="begin"/>
      </w:r>
      <w:r>
        <w:rPr>
          <w:kern w:val="0"/>
          <w:szCs w:val="21"/>
          <w:highlight w:val="none"/>
          <w:u w:val="single"/>
        </w:rPr>
        <w:instrText xml:space="preserve"> HYPERLINK "mailto:dept5@gxbidding.cn" </w:instrText>
      </w:r>
      <w:r>
        <w:rPr>
          <w:kern w:val="0"/>
          <w:szCs w:val="21"/>
          <w:highlight w:val="none"/>
          <w:u w:val="single"/>
        </w:rPr>
        <w:fldChar w:fldCharType="separate"/>
      </w:r>
      <w:r>
        <w:rPr>
          <w:rStyle w:val="55"/>
          <w:color w:val="auto"/>
          <w:kern w:val="0"/>
          <w:szCs w:val="21"/>
          <w:highlight w:val="none"/>
          <w:u w:val="single"/>
        </w:rPr>
        <w:t>dept5@gxbidding.cn</w:t>
      </w:r>
      <w:r>
        <w:rPr>
          <w:kern w:val="0"/>
          <w:szCs w:val="21"/>
          <w:highlight w:val="none"/>
          <w:u w:val="single"/>
        </w:rPr>
        <w:fldChar w:fldCharType="end"/>
      </w:r>
    </w:p>
    <w:bookmarkEnd w:id="9"/>
    <w:p>
      <w:pPr>
        <w:spacing w:line="312" w:lineRule="auto"/>
        <w:ind w:firstLine="420" w:firstLineChars="200"/>
        <w:jc w:val="right"/>
        <w:rPr>
          <w:kern w:val="0"/>
          <w:szCs w:val="21"/>
          <w:highlight w:val="none"/>
        </w:rPr>
      </w:pPr>
    </w:p>
    <w:p>
      <w:pPr>
        <w:spacing w:line="312" w:lineRule="auto"/>
        <w:ind w:firstLine="420" w:firstLineChars="200"/>
        <w:jc w:val="right"/>
        <w:rPr>
          <w:kern w:val="0"/>
          <w:szCs w:val="21"/>
          <w:highlight w:val="none"/>
        </w:rPr>
      </w:pPr>
      <w:r>
        <w:rPr>
          <w:kern w:val="0"/>
          <w:szCs w:val="21"/>
          <w:highlight w:val="none"/>
        </w:rPr>
        <w:t>广西机电设备招标有限公司</w:t>
      </w:r>
    </w:p>
    <w:p>
      <w:pPr>
        <w:spacing w:line="312" w:lineRule="auto"/>
        <w:ind w:firstLine="420" w:firstLineChars="200"/>
        <w:jc w:val="right"/>
        <w:rPr>
          <w:color w:val="auto"/>
          <w:kern w:val="0"/>
          <w:sz w:val="18"/>
          <w:szCs w:val="18"/>
          <w:highlight w:val="none"/>
        </w:rPr>
      </w:pPr>
      <w:r>
        <w:rPr>
          <w:color w:val="auto"/>
          <w:kern w:val="0"/>
          <w:szCs w:val="21"/>
          <w:highlight w:val="none"/>
        </w:rPr>
        <w:t>2020年</w:t>
      </w:r>
      <w:r>
        <w:rPr>
          <w:rFonts w:hint="eastAsia"/>
          <w:color w:val="auto"/>
          <w:kern w:val="0"/>
          <w:szCs w:val="21"/>
          <w:highlight w:val="none"/>
          <w:lang w:val="en-US" w:eastAsia="zh-CN"/>
        </w:rPr>
        <w:t>00</w:t>
      </w:r>
      <w:r>
        <w:rPr>
          <w:color w:val="auto"/>
          <w:kern w:val="0"/>
          <w:szCs w:val="21"/>
          <w:highlight w:val="none"/>
        </w:rPr>
        <w:t>月00日</w:t>
      </w:r>
    </w:p>
    <w:p>
      <w:pPr>
        <w:rPr>
          <w:highlight w:val="none"/>
        </w:rPr>
      </w:pPr>
      <w:r>
        <w:rPr>
          <w:highlight w:val="none"/>
        </w:rPr>
        <w:br w:type="page"/>
      </w:r>
      <w:bookmarkEnd w:id="3"/>
      <w:bookmarkEnd w:id="4"/>
      <w:bookmarkEnd w:id="5"/>
    </w:p>
    <w:p>
      <w:pPr>
        <w:pStyle w:val="28"/>
        <w:snapToGrid w:val="0"/>
        <w:spacing w:before="120" w:after="120" w:line="320" w:lineRule="exact"/>
        <w:jc w:val="center"/>
        <w:outlineLvl w:val="0"/>
        <w:rPr>
          <w:rFonts w:ascii="Times New Roman" w:hAnsi="Times New Roman" w:cs="Times New Roman"/>
          <w:sz w:val="32"/>
          <w:szCs w:val="32"/>
        </w:rPr>
      </w:pPr>
      <w:bookmarkStart w:id="10" w:name="_Toc19628"/>
      <w:r>
        <w:rPr>
          <w:rFonts w:ascii="Times New Roman" w:hAnsi="Times New Roman" w:cs="Times New Roman"/>
          <w:sz w:val="32"/>
          <w:szCs w:val="32"/>
        </w:rPr>
        <w:t>第二章  项目采购需求</w:t>
      </w:r>
      <w:bookmarkEnd w:id="10"/>
    </w:p>
    <w:p>
      <w:pPr>
        <w:pStyle w:val="28"/>
        <w:snapToGrid w:val="0"/>
        <w:jc w:val="center"/>
        <w:rPr>
          <w:rFonts w:ascii="Times New Roman" w:hAnsi="Times New Roman" w:cs="Times New Roman"/>
          <w:b/>
          <w:color w:val="4472C4"/>
        </w:rPr>
      </w:pPr>
      <w:bookmarkStart w:id="11" w:name="_Toc254970631"/>
      <w:bookmarkStart w:id="12" w:name="_Toc254970490"/>
    </w:p>
    <w:tbl>
      <w:tblPr>
        <w:tblStyle w:val="57"/>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41"/>
        <w:gridCol w:w="993"/>
        <w:gridCol w:w="567"/>
        <w:gridCol w:w="7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8" w:hRule="atLeast"/>
        </w:trPr>
        <w:tc>
          <w:tcPr>
            <w:tcW w:w="9747" w:type="dxa"/>
            <w:gridSpan w:val="5"/>
            <w:shd w:val="clear" w:color="auto" w:fill="D9D9D9"/>
            <w:vAlign w:val="center"/>
          </w:tcPr>
          <w:p>
            <w:pPr>
              <w:widowControl/>
              <w:spacing w:line="240" w:lineRule="exact"/>
              <w:jc w:val="left"/>
              <w:rPr>
                <w:b/>
                <w:color w:val="auto"/>
                <w:kern w:val="0"/>
                <w:szCs w:val="21"/>
              </w:rPr>
            </w:pPr>
            <w:r>
              <w:rPr>
                <w:b/>
                <w:color w:val="auto"/>
                <w:kern w:val="0"/>
                <w:szCs w:val="21"/>
              </w:rPr>
              <w:t>一、本项目需实现的功能或者目标，以及</w:t>
            </w:r>
            <w:r>
              <w:rPr>
                <w:rFonts w:hint="eastAsia"/>
                <w:b/>
                <w:color w:val="auto"/>
                <w:kern w:val="0"/>
                <w:szCs w:val="21"/>
              </w:rPr>
              <w:t>政府</w:t>
            </w:r>
            <w:r>
              <w:rPr>
                <w:b/>
                <w:color w:val="auto"/>
                <w:kern w:val="0"/>
                <w:szCs w:val="21"/>
              </w:rPr>
              <w:t>采购政策的应用、进口产品相关要求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534" w:type="dxa"/>
            <w:tcBorders>
              <w:right w:val="single" w:color="auto" w:sz="4" w:space="0"/>
            </w:tcBorders>
            <w:vAlign w:val="center"/>
          </w:tcPr>
          <w:p>
            <w:pPr>
              <w:spacing w:line="300" w:lineRule="exact"/>
              <w:jc w:val="center"/>
              <w:rPr>
                <w:b/>
                <w:color w:val="auto"/>
                <w:kern w:val="0"/>
                <w:szCs w:val="21"/>
              </w:rPr>
            </w:pPr>
            <w:r>
              <w:rPr>
                <w:b/>
                <w:color w:val="auto"/>
                <w:kern w:val="0"/>
                <w:szCs w:val="21"/>
              </w:rPr>
              <w:t>序号</w:t>
            </w:r>
          </w:p>
        </w:tc>
        <w:tc>
          <w:tcPr>
            <w:tcW w:w="1134" w:type="dxa"/>
            <w:gridSpan w:val="2"/>
            <w:tcBorders>
              <w:right w:val="single" w:color="auto" w:sz="4" w:space="0"/>
            </w:tcBorders>
            <w:vAlign w:val="center"/>
          </w:tcPr>
          <w:p>
            <w:pPr>
              <w:spacing w:line="300" w:lineRule="exact"/>
              <w:jc w:val="center"/>
              <w:rPr>
                <w:b/>
                <w:color w:val="auto"/>
                <w:kern w:val="0"/>
                <w:szCs w:val="21"/>
              </w:rPr>
            </w:pPr>
            <w:r>
              <w:rPr>
                <w:b/>
                <w:color w:val="auto"/>
                <w:kern w:val="0"/>
                <w:szCs w:val="21"/>
              </w:rPr>
              <w:t>采购需求要点</w:t>
            </w:r>
          </w:p>
        </w:tc>
        <w:tc>
          <w:tcPr>
            <w:tcW w:w="8079" w:type="dxa"/>
            <w:gridSpan w:val="2"/>
            <w:tcBorders>
              <w:left w:val="single" w:color="auto" w:sz="4" w:space="0"/>
            </w:tcBorders>
            <w:vAlign w:val="center"/>
          </w:tcPr>
          <w:p>
            <w:pPr>
              <w:spacing w:line="300" w:lineRule="exact"/>
              <w:jc w:val="center"/>
              <w:rPr>
                <w:b/>
                <w:color w:val="auto"/>
                <w:kern w:val="0"/>
                <w:szCs w:val="21"/>
              </w:rPr>
            </w:pPr>
            <w:r>
              <w:rPr>
                <w:b/>
                <w:color w:val="auto"/>
                <w:kern w:val="0"/>
                <w:szCs w:val="21"/>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534" w:type="dxa"/>
            <w:tcBorders>
              <w:right w:val="single" w:color="auto" w:sz="4" w:space="0"/>
            </w:tcBorders>
            <w:vAlign w:val="center"/>
          </w:tcPr>
          <w:p>
            <w:pPr>
              <w:spacing w:line="300" w:lineRule="exact"/>
              <w:jc w:val="center"/>
              <w:rPr>
                <w:b/>
                <w:color w:val="auto"/>
                <w:kern w:val="0"/>
                <w:szCs w:val="21"/>
              </w:rPr>
            </w:pPr>
            <w:r>
              <w:rPr>
                <w:rFonts w:hint="eastAsia"/>
                <w:b/>
                <w:color w:val="auto"/>
                <w:kern w:val="0"/>
                <w:szCs w:val="21"/>
              </w:rPr>
              <w:t>1</w:t>
            </w:r>
          </w:p>
        </w:tc>
        <w:tc>
          <w:tcPr>
            <w:tcW w:w="1134" w:type="dxa"/>
            <w:gridSpan w:val="2"/>
            <w:tcBorders>
              <w:right w:val="single" w:color="auto" w:sz="4" w:space="0"/>
            </w:tcBorders>
            <w:vAlign w:val="center"/>
          </w:tcPr>
          <w:p>
            <w:pPr>
              <w:spacing w:line="300" w:lineRule="exact"/>
              <w:jc w:val="center"/>
              <w:rPr>
                <w:b/>
                <w:color w:val="auto"/>
                <w:kern w:val="0"/>
                <w:szCs w:val="21"/>
              </w:rPr>
            </w:pPr>
            <w:r>
              <w:rPr>
                <w:color w:val="auto"/>
                <w:szCs w:val="21"/>
              </w:rPr>
              <w:t>需实现的功能或者目标</w:t>
            </w:r>
          </w:p>
        </w:tc>
        <w:tc>
          <w:tcPr>
            <w:tcW w:w="8079" w:type="dxa"/>
            <w:gridSpan w:val="2"/>
            <w:tcBorders>
              <w:left w:val="single" w:color="auto" w:sz="4" w:space="0"/>
            </w:tcBorders>
            <w:vAlign w:val="center"/>
          </w:tcPr>
          <w:p>
            <w:pPr>
              <w:spacing w:line="300" w:lineRule="exact"/>
              <w:jc w:val="left"/>
              <w:rPr>
                <w:b/>
                <w:color w:val="auto"/>
                <w:kern w:val="0"/>
                <w:szCs w:val="21"/>
              </w:rPr>
            </w:pPr>
            <w:r>
              <w:rPr>
                <w:rFonts w:hint="eastAsia" w:ascii="Calibri" w:hAnsi="Calibri"/>
                <w:color w:val="auto"/>
                <w:szCs w:val="22"/>
              </w:rPr>
              <w:t>满足</w:t>
            </w:r>
            <w:r>
              <w:rPr>
                <w:rFonts w:ascii="Calibri" w:hAnsi="Calibri"/>
                <w:color w:val="auto"/>
                <w:szCs w:val="22"/>
              </w:rPr>
              <w:t>采购</w:t>
            </w:r>
            <w:r>
              <w:rPr>
                <w:rFonts w:hint="eastAsia" w:ascii="Calibri" w:hAnsi="Calibri"/>
                <w:color w:val="auto"/>
                <w:szCs w:val="22"/>
              </w:rPr>
              <w:t>文件采购</w:t>
            </w:r>
            <w:r>
              <w:rPr>
                <w:rFonts w:ascii="Calibri" w:hAnsi="Calibri"/>
                <w:color w:val="auto"/>
                <w:szCs w:val="22"/>
              </w:rPr>
              <w:t>需求</w:t>
            </w:r>
            <w:r>
              <w:rPr>
                <w:rFonts w:hint="eastAsia" w:ascii="Calibri" w:hAnsi="Calibri"/>
                <w:color w:val="auto"/>
                <w:szCs w:val="22"/>
              </w:rPr>
              <w:t>及采购合同约定需求，经验收达到合格标准。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534" w:type="dxa"/>
            <w:tcBorders>
              <w:right w:val="single" w:color="auto" w:sz="4" w:space="0"/>
            </w:tcBorders>
            <w:vAlign w:val="center"/>
          </w:tcPr>
          <w:p>
            <w:pPr>
              <w:spacing w:line="300" w:lineRule="exact"/>
              <w:jc w:val="center"/>
              <w:rPr>
                <w:b/>
                <w:color w:val="auto"/>
                <w:kern w:val="0"/>
                <w:szCs w:val="21"/>
              </w:rPr>
            </w:pPr>
            <w:r>
              <w:rPr>
                <w:rFonts w:hint="eastAsia"/>
                <w:b/>
                <w:color w:val="auto"/>
                <w:kern w:val="0"/>
                <w:szCs w:val="21"/>
              </w:rPr>
              <w:t>2</w:t>
            </w:r>
          </w:p>
        </w:tc>
        <w:tc>
          <w:tcPr>
            <w:tcW w:w="1134" w:type="dxa"/>
            <w:gridSpan w:val="2"/>
            <w:tcBorders>
              <w:right w:val="single" w:color="auto" w:sz="4" w:space="0"/>
            </w:tcBorders>
            <w:vAlign w:val="center"/>
          </w:tcPr>
          <w:p>
            <w:pPr>
              <w:spacing w:line="300" w:lineRule="exact"/>
              <w:jc w:val="center"/>
              <w:rPr>
                <w:b/>
                <w:color w:val="auto"/>
                <w:kern w:val="0"/>
                <w:szCs w:val="21"/>
              </w:rPr>
            </w:pPr>
            <w:r>
              <w:rPr>
                <w:rFonts w:hint="eastAsia"/>
                <w:color w:val="auto"/>
                <w:kern w:val="0"/>
                <w:szCs w:val="21"/>
              </w:rPr>
              <w:t>政府</w:t>
            </w:r>
            <w:r>
              <w:rPr>
                <w:color w:val="auto"/>
                <w:kern w:val="0"/>
                <w:szCs w:val="21"/>
              </w:rPr>
              <w:t>采购政策的应用</w:t>
            </w:r>
          </w:p>
        </w:tc>
        <w:tc>
          <w:tcPr>
            <w:tcW w:w="8079" w:type="dxa"/>
            <w:gridSpan w:val="2"/>
            <w:tcBorders>
              <w:left w:val="single" w:color="auto" w:sz="4" w:space="0"/>
            </w:tcBorders>
            <w:vAlign w:val="center"/>
          </w:tcPr>
          <w:p>
            <w:pPr>
              <w:spacing w:line="300" w:lineRule="exact"/>
              <w:rPr>
                <w:color w:val="auto"/>
                <w:kern w:val="0"/>
                <w:szCs w:val="21"/>
              </w:rPr>
            </w:pPr>
            <w:r>
              <w:rPr>
                <w:rFonts w:hint="eastAsia"/>
                <w:color w:val="auto"/>
                <w:szCs w:val="21"/>
              </w:rPr>
              <w:t>详</w:t>
            </w:r>
            <w:r>
              <w:rPr>
                <w:color w:val="auto"/>
                <w:szCs w:val="21"/>
              </w:rPr>
              <w:t>见</w:t>
            </w:r>
            <w:r>
              <w:rPr>
                <w:rFonts w:hint="eastAsia"/>
                <w:color w:val="auto"/>
                <w:szCs w:val="21"/>
              </w:rPr>
              <w:t>第四章“</w:t>
            </w:r>
            <w:r>
              <w:rPr>
                <w:color w:val="auto"/>
                <w:szCs w:val="21"/>
              </w:rPr>
              <w:t>评标方法及评标标准</w:t>
            </w:r>
            <w:r>
              <w:rPr>
                <w:rFonts w:hint="eastAsia"/>
                <w:color w:val="auto"/>
                <w:szCs w:val="21"/>
              </w:rPr>
              <w:t>/</w:t>
            </w:r>
            <w:r>
              <w:rPr>
                <w:color w:val="auto"/>
                <w:szCs w:val="21"/>
              </w:rPr>
              <w:t>政府采购政策应用说明</w:t>
            </w:r>
            <w:r>
              <w:rPr>
                <w:rFonts w:hint="eastAsia"/>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534" w:type="dxa"/>
            <w:tcBorders>
              <w:right w:val="single" w:color="auto" w:sz="4" w:space="0"/>
            </w:tcBorders>
            <w:vAlign w:val="center"/>
          </w:tcPr>
          <w:p>
            <w:pPr>
              <w:spacing w:line="300" w:lineRule="exact"/>
              <w:jc w:val="center"/>
              <w:rPr>
                <w:b/>
                <w:color w:val="auto"/>
                <w:kern w:val="0"/>
                <w:szCs w:val="21"/>
              </w:rPr>
            </w:pPr>
            <w:r>
              <w:rPr>
                <w:rFonts w:hint="eastAsia"/>
                <w:b/>
                <w:color w:val="auto"/>
                <w:kern w:val="0"/>
                <w:szCs w:val="21"/>
              </w:rPr>
              <w:t>3</w:t>
            </w:r>
          </w:p>
        </w:tc>
        <w:tc>
          <w:tcPr>
            <w:tcW w:w="1134" w:type="dxa"/>
            <w:gridSpan w:val="2"/>
            <w:tcBorders>
              <w:right w:val="single" w:color="auto" w:sz="4" w:space="0"/>
            </w:tcBorders>
            <w:vAlign w:val="center"/>
          </w:tcPr>
          <w:p>
            <w:pPr>
              <w:spacing w:line="300" w:lineRule="exact"/>
              <w:jc w:val="center"/>
              <w:rPr>
                <w:color w:val="auto"/>
                <w:szCs w:val="21"/>
              </w:rPr>
            </w:pPr>
            <w:r>
              <w:rPr>
                <w:color w:val="auto"/>
                <w:szCs w:val="21"/>
              </w:rPr>
              <w:t>进口产品</w:t>
            </w:r>
          </w:p>
        </w:tc>
        <w:tc>
          <w:tcPr>
            <w:tcW w:w="8079" w:type="dxa"/>
            <w:gridSpan w:val="2"/>
            <w:tcBorders>
              <w:left w:val="single" w:color="auto" w:sz="4" w:space="0"/>
            </w:tcBorders>
            <w:vAlign w:val="center"/>
          </w:tcPr>
          <w:p>
            <w:pPr>
              <w:spacing w:line="300" w:lineRule="exact"/>
              <w:rPr>
                <w:color w:val="auto"/>
                <w:szCs w:val="21"/>
              </w:rPr>
            </w:pPr>
            <w:r>
              <w:rPr>
                <w:color w:val="auto"/>
                <w:szCs w:val="21"/>
              </w:rPr>
              <w:t>是否接受进口产品：</w:t>
            </w:r>
          </w:p>
          <w:p>
            <w:pPr>
              <w:spacing w:line="300" w:lineRule="exact"/>
              <w:rPr>
                <w:color w:val="auto"/>
                <w:szCs w:val="21"/>
              </w:rPr>
            </w:pPr>
            <w:r>
              <w:rPr>
                <w:color w:val="auto"/>
                <w:szCs w:val="21"/>
              </w:rPr>
              <w:sym w:font="Wingdings 2" w:char="F052"/>
            </w:r>
            <w:r>
              <w:rPr>
                <w:color w:val="auto"/>
                <w:szCs w:val="21"/>
              </w:rPr>
              <w:t>否，本项目所有采购货物均不接受进口产品。</w:t>
            </w:r>
          </w:p>
          <w:p>
            <w:pPr>
              <w:spacing w:line="300" w:lineRule="exact"/>
              <w:rPr>
                <w:color w:val="auto"/>
                <w:szCs w:val="21"/>
              </w:rPr>
            </w:pPr>
            <w:r>
              <w:rPr>
                <w:color w:val="auto"/>
                <w:szCs w:val="21"/>
              </w:rPr>
              <w:sym w:font="Wingdings 2" w:char="F0A3"/>
            </w:r>
            <w:r>
              <w:rPr>
                <w:color w:val="auto"/>
                <w:szCs w:val="21"/>
              </w:rPr>
              <w:t>是，本项目</w:t>
            </w:r>
            <w:r>
              <w:rPr>
                <w:color w:val="auto"/>
                <w:szCs w:val="21"/>
                <w:u w:val="single"/>
              </w:rPr>
              <w:t xml:space="preserve">   </w:t>
            </w:r>
            <w:r>
              <w:rPr>
                <w:color w:val="auto"/>
                <w:szCs w:val="21"/>
              </w:rPr>
              <w:t>分标第</w:t>
            </w:r>
            <w:r>
              <w:rPr>
                <w:color w:val="auto"/>
                <w:szCs w:val="21"/>
                <w:u w:val="single"/>
              </w:rPr>
              <w:t xml:space="preserve">        </w:t>
            </w:r>
            <w:r>
              <w:rPr>
                <w:color w:val="auto"/>
                <w:szCs w:val="21"/>
              </w:rPr>
              <w:t>项、</w:t>
            </w:r>
            <w:r>
              <w:rPr>
                <w:color w:val="auto"/>
                <w:szCs w:val="21"/>
                <w:u w:val="single"/>
              </w:rPr>
              <w:t xml:space="preserve">   </w:t>
            </w:r>
            <w:r>
              <w:rPr>
                <w:color w:val="auto"/>
                <w:szCs w:val="21"/>
              </w:rPr>
              <w:t>分标第</w:t>
            </w:r>
            <w:r>
              <w:rPr>
                <w:color w:val="auto"/>
                <w:szCs w:val="21"/>
                <w:u w:val="single"/>
              </w:rPr>
              <w:t xml:space="preserve">      </w:t>
            </w:r>
            <w:r>
              <w:rPr>
                <w:color w:val="auto"/>
                <w:szCs w:val="21"/>
              </w:rPr>
              <w:t>项货物接受进口产品，其余货物不接受进口产品。</w:t>
            </w:r>
          </w:p>
          <w:p>
            <w:pPr>
              <w:spacing w:line="300" w:lineRule="exact"/>
              <w:rPr>
                <w:color w:val="auto"/>
                <w:szCs w:val="21"/>
              </w:rPr>
            </w:pPr>
            <w:r>
              <w:rPr>
                <w:color w:val="auto"/>
                <w:szCs w:val="21"/>
              </w:rPr>
              <w:sym w:font="Wingdings 2" w:char="F0A3"/>
            </w:r>
            <w:r>
              <w:rPr>
                <w:color w:val="auto"/>
                <w:szCs w:val="21"/>
              </w:rPr>
              <w:t>是，本项目所有采购货物均接受进口产品。</w:t>
            </w:r>
          </w:p>
          <w:p>
            <w:pPr>
              <w:spacing w:line="300" w:lineRule="exact"/>
              <w:rPr>
                <w:rFonts w:ascii="宋体" w:hAnsi="宋体"/>
                <w:color w:val="auto"/>
                <w:szCs w:val="21"/>
              </w:rPr>
            </w:pPr>
            <w:r>
              <w:rPr>
                <w:rFonts w:hint="eastAsia" w:ascii="宋体" w:hAnsi="宋体"/>
                <w:color w:val="auto"/>
                <w:szCs w:val="21"/>
              </w:rPr>
              <w:t>备注：1.以上所述不接受进口</w:t>
            </w:r>
            <w:r>
              <w:rPr>
                <w:color w:val="auto"/>
                <w:szCs w:val="21"/>
              </w:rPr>
              <w:t>产品</w:t>
            </w:r>
            <w:r>
              <w:rPr>
                <w:rFonts w:hint="eastAsia" w:ascii="宋体" w:hAnsi="宋体"/>
                <w:color w:val="auto"/>
                <w:szCs w:val="21"/>
              </w:rPr>
              <w:t>的，供应商不得选用进口产品参与投标，否则投标按无效投标处理；允许接受进口产品的，供应商可以选用进口产品参与投标，但不排斥国内产品。</w:t>
            </w:r>
          </w:p>
          <w:p>
            <w:pPr>
              <w:spacing w:line="300" w:lineRule="exact"/>
              <w:rPr>
                <w:color w:val="auto"/>
                <w:szCs w:val="21"/>
              </w:rPr>
            </w:pPr>
            <w:r>
              <w:rPr>
                <w:rFonts w:hint="eastAsia" w:ascii="宋体" w:hAnsi="宋体"/>
                <w:color w:val="auto"/>
                <w:szCs w:val="21"/>
              </w:rPr>
              <w:t>2.如本项目接受进口产品，除《关于疫情防控采购便利化的通知（财办库〔2020〕23号）》规定，采购疫情防控相关的进口产品，无需审批之外，其他</w:t>
            </w:r>
            <w:r>
              <w:rPr>
                <w:color w:val="auto"/>
                <w:szCs w:val="21"/>
              </w:rPr>
              <w:t>进口产品采购审核手续</w:t>
            </w:r>
            <w:r>
              <w:rPr>
                <w:rFonts w:hint="eastAsia"/>
                <w:color w:val="auto"/>
                <w:szCs w:val="21"/>
              </w:rPr>
              <w:t>需</w:t>
            </w:r>
            <w:r>
              <w:rPr>
                <w:color w:val="auto"/>
                <w:szCs w:val="21"/>
              </w:rPr>
              <w:t>按规定办妥；如供应商选择提供进口产品，则提供的必须为全套全新原装进口产品，报价中应包括关税等所有进口环节费用并由中标人办理进口相关手续</w:t>
            </w:r>
            <w:r>
              <w:rPr>
                <w:rFonts w:hint="eastAsia"/>
                <w:color w:val="auto"/>
                <w:szCs w:val="21"/>
              </w:rPr>
              <w:t>，</w:t>
            </w:r>
            <w:r>
              <w:rPr>
                <w:rFonts w:hint="eastAsia" w:ascii="Arial" w:hAnsi="Arial" w:cs="Arial"/>
                <w:color w:val="auto"/>
                <w:szCs w:val="21"/>
              </w:rPr>
              <w:t>供应商报价中应自行考虑海关关税政策变化带来的风险，采购人不承担该政策变化所造成的费用增加</w:t>
            </w:r>
            <w:r>
              <w:rPr>
                <w:color w:val="auto"/>
                <w:szCs w:val="21"/>
              </w:rPr>
              <w:t>。</w:t>
            </w:r>
          </w:p>
          <w:p>
            <w:pPr>
              <w:rPr>
                <w:rFonts w:ascii="宋体" w:hAnsi="宋体"/>
                <w:color w:val="auto"/>
                <w:szCs w:val="21"/>
              </w:rPr>
            </w:pPr>
            <w:r>
              <w:rPr>
                <w:rFonts w:hint="eastAsia" w:ascii="宋体" w:hAnsi="宋体"/>
                <w:color w:val="auto"/>
                <w:szCs w:val="21"/>
              </w:rPr>
              <w:t>3. 进口产品是指通过</w:t>
            </w:r>
            <w:r>
              <w:rPr>
                <w:color w:val="auto"/>
                <w:szCs w:val="21"/>
              </w:rPr>
              <w:t>中国海关报关验放进入</w:t>
            </w:r>
            <w:r>
              <w:rPr>
                <w:rFonts w:hint="eastAsia" w:ascii="宋体" w:hAnsi="宋体"/>
                <w:color w:val="auto"/>
                <w:szCs w:val="21"/>
              </w:rPr>
              <w:t>中国境内且产自关境外的产品。即所谓进口产品是指制造过程均在国外，如果产品在国内组装，其中的零部件（包括核心部件）是进口产品，则应当视为非进口产品。</w:t>
            </w:r>
          </w:p>
          <w:p>
            <w:pPr>
              <w:spacing w:line="300" w:lineRule="exact"/>
              <w:rPr>
                <w:rFonts w:ascii="宋体" w:hAnsi="宋体"/>
                <w:color w:val="auto"/>
                <w:szCs w:val="21"/>
              </w:rPr>
            </w:pPr>
            <w:r>
              <w:rPr>
                <w:rFonts w:ascii="宋体" w:hAnsi="宋体"/>
                <w:color w:val="auto"/>
                <w:szCs w:val="21"/>
              </w:rPr>
              <w:t>4</w:t>
            </w:r>
            <w:r>
              <w:rPr>
                <w:rFonts w:hint="eastAsia" w:ascii="宋体" w:hAnsi="宋体"/>
                <w:color w:val="auto"/>
                <w:szCs w:val="21"/>
              </w:rPr>
              <w:t>.其余内容以《政府采购进口产品管理办法》（财库〔2007〕119 号）和《关于政府采购进口产品管理有关问题的通知财办库》（财库[2008]248号）的相关规定为准。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8" w:hRule="atLeast"/>
        </w:trPr>
        <w:tc>
          <w:tcPr>
            <w:tcW w:w="9747" w:type="dxa"/>
            <w:gridSpan w:val="5"/>
            <w:shd w:val="clear" w:color="auto" w:fill="D9D9D9"/>
            <w:vAlign w:val="center"/>
          </w:tcPr>
          <w:p>
            <w:pPr>
              <w:widowControl/>
              <w:spacing w:line="240" w:lineRule="exact"/>
              <w:jc w:val="left"/>
              <w:rPr>
                <w:b/>
                <w:color w:val="auto"/>
                <w:kern w:val="0"/>
                <w:szCs w:val="21"/>
              </w:rPr>
            </w:pPr>
            <w:r>
              <w:rPr>
                <w:b/>
                <w:color w:val="auto"/>
                <w:kern w:val="0"/>
                <w:szCs w:val="21"/>
              </w:rPr>
              <w:t>二、本项目需执行的国家相关标准、行业标准、地方标准或者其他标准、规范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8" w:hRule="atLeast"/>
        </w:trPr>
        <w:tc>
          <w:tcPr>
            <w:tcW w:w="9747" w:type="dxa"/>
            <w:gridSpan w:val="5"/>
            <w:tcBorders>
              <w:bottom w:val="single" w:color="000000" w:sz="4" w:space="0"/>
            </w:tcBorders>
            <w:vAlign w:val="center"/>
          </w:tcPr>
          <w:p>
            <w:pPr>
              <w:spacing w:line="300" w:lineRule="exact"/>
              <w:rPr>
                <w:b/>
                <w:color w:val="auto"/>
                <w:kern w:val="0"/>
                <w:szCs w:val="21"/>
              </w:rPr>
            </w:pPr>
            <w:r>
              <w:rPr>
                <w:color w:val="auto"/>
                <w:szCs w:val="21"/>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8" w:hRule="atLeast"/>
        </w:trPr>
        <w:tc>
          <w:tcPr>
            <w:tcW w:w="9747" w:type="dxa"/>
            <w:gridSpan w:val="5"/>
            <w:shd w:val="clear" w:color="auto" w:fill="D9D9D9"/>
            <w:vAlign w:val="center"/>
          </w:tcPr>
          <w:p>
            <w:pPr>
              <w:widowControl/>
              <w:spacing w:line="240" w:lineRule="exact"/>
              <w:jc w:val="left"/>
              <w:rPr>
                <w:b/>
                <w:color w:val="auto"/>
                <w:kern w:val="0"/>
                <w:szCs w:val="21"/>
              </w:rPr>
            </w:pPr>
            <w:r>
              <w:rPr>
                <w:b/>
                <w:color w:val="auto"/>
                <w:kern w:val="0"/>
                <w:szCs w:val="21"/>
              </w:rPr>
              <w:t>三、本项目技术要求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675" w:type="dxa"/>
            <w:gridSpan w:val="2"/>
            <w:vAlign w:val="center"/>
          </w:tcPr>
          <w:p>
            <w:pPr>
              <w:spacing w:line="300" w:lineRule="exact"/>
              <w:jc w:val="center"/>
              <w:rPr>
                <w:color w:val="auto"/>
                <w:szCs w:val="21"/>
              </w:rPr>
            </w:pPr>
            <w:r>
              <w:rPr>
                <w:color w:val="auto"/>
                <w:szCs w:val="21"/>
              </w:rPr>
              <w:t>序号</w:t>
            </w:r>
          </w:p>
        </w:tc>
        <w:tc>
          <w:tcPr>
            <w:tcW w:w="993" w:type="dxa"/>
            <w:vAlign w:val="center"/>
          </w:tcPr>
          <w:p>
            <w:pPr>
              <w:spacing w:line="300" w:lineRule="exact"/>
              <w:jc w:val="center"/>
              <w:rPr>
                <w:color w:val="auto"/>
                <w:szCs w:val="21"/>
              </w:rPr>
            </w:pPr>
            <w:r>
              <w:rPr>
                <w:color w:val="auto"/>
                <w:szCs w:val="21"/>
              </w:rPr>
              <w:t>技术要求要点</w:t>
            </w:r>
          </w:p>
        </w:tc>
        <w:tc>
          <w:tcPr>
            <w:tcW w:w="8079" w:type="dxa"/>
            <w:gridSpan w:val="2"/>
            <w:vAlign w:val="center"/>
          </w:tcPr>
          <w:p>
            <w:pPr>
              <w:spacing w:line="300" w:lineRule="exact"/>
              <w:jc w:val="center"/>
              <w:rPr>
                <w:color w:val="auto"/>
                <w:szCs w:val="21"/>
              </w:rPr>
            </w:pPr>
            <w:r>
              <w:rPr>
                <w:color w:val="auto"/>
                <w:szCs w:val="21"/>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675" w:type="dxa"/>
            <w:gridSpan w:val="2"/>
            <w:vAlign w:val="center"/>
          </w:tcPr>
          <w:p>
            <w:pPr>
              <w:spacing w:line="300" w:lineRule="exact"/>
              <w:jc w:val="center"/>
              <w:rPr>
                <w:color w:val="auto"/>
                <w:szCs w:val="21"/>
              </w:rPr>
            </w:pPr>
            <w:r>
              <w:rPr>
                <w:rFonts w:hint="eastAsia"/>
                <w:color w:val="auto"/>
                <w:szCs w:val="21"/>
              </w:rPr>
              <w:t>1</w:t>
            </w:r>
          </w:p>
        </w:tc>
        <w:tc>
          <w:tcPr>
            <w:tcW w:w="993" w:type="dxa"/>
            <w:vAlign w:val="center"/>
          </w:tcPr>
          <w:p>
            <w:pPr>
              <w:spacing w:line="300" w:lineRule="exact"/>
              <w:jc w:val="center"/>
              <w:rPr>
                <w:color w:val="auto"/>
                <w:szCs w:val="21"/>
              </w:rPr>
            </w:pPr>
            <w:r>
              <w:rPr>
                <w:color w:val="auto"/>
                <w:szCs w:val="21"/>
              </w:rPr>
              <w:t>总体要求</w:t>
            </w:r>
          </w:p>
        </w:tc>
        <w:tc>
          <w:tcPr>
            <w:tcW w:w="8079" w:type="dxa"/>
            <w:gridSpan w:val="2"/>
            <w:vAlign w:val="center"/>
          </w:tcPr>
          <w:p>
            <w:pPr>
              <w:widowControl/>
              <w:jc w:val="left"/>
              <w:rPr>
                <w:color w:val="auto"/>
                <w:szCs w:val="21"/>
              </w:rPr>
            </w:pPr>
            <w:r>
              <w:rPr>
                <w:color w:val="auto"/>
                <w:szCs w:val="21"/>
              </w:rPr>
              <w:t>1.标注“▲”的技术要求为实质性技术要求。</w:t>
            </w:r>
          </w:p>
          <w:p>
            <w:pPr>
              <w:widowControl/>
              <w:jc w:val="left"/>
              <w:rPr>
                <w:color w:val="auto"/>
                <w:szCs w:val="21"/>
              </w:rPr>
            </w:pPr>
            <w:r>
              <w:rPr>
                <w:color w:val="auto"/>
                <w:szCs w:val="21"/>
              </w:rPr>
              <w:sym w:font="Wingdings 2" w:char="F0A3"/>
            </w:r>
            <w:r>
              <w:rPr>
                <w:color w:val="auto"/>
                <w:szCs w:val="21"/>
              </w:rPr>
              <w:t>供应商在投标文件中</w:t>
            </w:r>
            <w:r>
              <w:rPr>
                <w:rFonts w:hint="eastAsia"/>
                <w:color w:val="auto"/>
                <w:szCs w:val="21"/>
              </w:rPr>
              <w:t>无需就实质性技术要求提供技术支持资料。</w:t>
            </w:r>
          </w:p>
          <w:p>
            <w:pPr>
              <w:widowControl/>
              <w:jc w:val="left"/>
              <w:rPr>
                <w:color w:val="auto"/>
                <w:szCs w:val="21"/>
              </w:rPr>
            </w:pPr>
            <w:r>
              <w:rPr>
                <w:color w:val="auto"/>
                <w:szCs w:val="21"/>
              </w:rPr>
              <w:sym w:font="Wingdings 2" w:char="F052"/>
            </w:r>
            <w:r>
              <w:rPr>
                <w:color w:val="auto"/>
                <w:szCs w:val="21"/>
              </w:rPr>
              <w:t>供应商在投标文件中</w:t>
            </w:r>
            <w:r>
              <w:rPr>
                <w:rFonts w:hint="eastAsia"/>
                <w:color w:val="auto"/>
                <w:szCs w:val="21"/>
              </w:rPr>
              <w:t>必须</w:t>
            </w:r>
            <w:r>
              <w:rPr>
                <w:color w:val="auto"/>
                <w:szCs w:val="21"/>
              </w:rPr>
              <w:t>就实质性技术要求提供技术支持资料</w:t>
            </w:r>
            <w:r>
              <w:rPr>
                <w:rFonts w:hint="eastAsia"/>
                <w:color w:val="auto"/>
                <w:szCs w:val="21"/>
              </w:rPr>
              <w:t xml:space="preserve">。  </w:t>
            </w:r>
          </w:p>
          <w:p>
            <w:pPr>
              <w:widowControl/>
              <w:jc w:val="left"/>
              <w:rPr>
                <w:b/>
                <w:color w:val="auto"/>
                <w:szCs w:val="21"/>
              </w:rPr>
            </w:pPr>
            <w:r>
              <w:rPr>
                <w:b/>
                <w:color w:val="auto"/>
                <w:szCs w:val="21"/>
              </w:rPr>
              <w:t>技术支持资料可以为以下形式之一：</w:t>
            </w:r>
          </w:p>
          <w:p>
            <w:pPr>
              <w:widowControl/>
              <w:jc w:val="left"/>
              <w:rPr>
                <w:b/>
                <w:color w:val="auto"/>
                <w:szCs w:val="21"/>
              </w:rPr>
            </w:pPr>
            <w:r>
              <w:rPr>
                <w:rFonts w:hint="eastAsia"/>
                <w:b/>
                <w:color w:val="auto"/>
                <w:szCs w:val="21"/>
              </w:rPr>
              <w:t>（</w:t>
            </w:r>
            <w:r>
              <w:rPr>
                <w:b/>
                <w:color w:val="auto"/>
                <w:szCs w:val="21"/>
              </w:rPr>
              <w:t>1</w:t>
            </w:r>
            <w:r>
              <w:rPr>
                <w:rFonts w:hint="eastAsia"/>
                <w:b/>
                <w:color w:val="auto"/>
                <w:szCs w:val="21"/>
              </w:rPr>
              <w:t>）生产厂家的宣传彩页或官网截图或技术白皮书（提供复印件加盖供应商公章）。</w:t>
            </w:r>
          </w:p>
          <w:p>
            <w:pPr>
              <w:widowControl/>
              <w:jc w:val="left"/>
              <w:rPr>
                <w:b/>
                <w:color w:val="auto"/>
                <w:szCs w:val="21"/>
              </w:rPr>
            </w:pPr>
            <w:r>
              <w:rPr>
                <w:rFonts w:hint="eastAsia"/>
                <w:b/>
                <w:color w:val="auto"/>
                <w:szCs w:val="21"/>
              </w:rPr>
              <w:t>（</w:t>
            </w:r>
            <w:r>
              <w:rPr>
                <w:b/>
                <w:color w:val="auto"/>
                <w:szCs w:val="21"/>
              </w:rPr>
              <w:t>2</w:t>
            </w:r>
            <w:r>
              <w:rPr>
                <w:rFonts w:hint="eastAsia"/>
                <w:b/>
                <w:color w:val="auto"/>
                <w:szCs w:val="21"/>
              </w:rPr>
              <w:t>）国家认定的第三方认证（检测）机构出具认证证书（检测报告）或国际机构第三方认证报告（提供复印件加盖供应商公章）。</w:t>
            </w:r>
          </w:p>
          <w:p>
            <w:pPr>
              <w:widowControl/>
              <w:jc w:val="left"/>
              <w:rPr>
                <w:rFonts w:hint="eastAsia" w:eastAsia="宋体"/>
                <w:b/>
                <w:color w:val="auto"/>
                <w:szCs w:val="21"/>
                <w:lang w:eastAsia="zh-CN"/>
              </w:rPr>
            </w:pPr>
            <w:r>
              <w:rPr>
                <w:rFonts w:hint="eastAsia"/>
                <w:b/>
                <w:color w:val="auto"/>
                <w:szCs w:val="21"/>
              </w:rPr>
              <w:t>（3）其他：</w:t>
            </w:r>
            <w:r>
              <w:rPr>
                <w:rFonts w:hint="eastAsia"/>
                <w:b/>
                <w:color w:val="auto"/>
                <w:szCs w:val="21"/>
                <w:u w:val="single"/>
                <w:lang w:eastAsia="zh-CN"/>
              </w:rPr>
              <w:t>无。</w:t>
            </w:r>
          </w:p>
          <w:p>
            <w:pPr>
              <w:widowControl/>
              <w:jc w:val="left"/>
              <w:rPr>
                <w:b/>
                <w:color w:val="auto"/>
                <w:szCs w:val="21"/>
              </w:rPr>
            </w:pPr>
            <w:r>
              <w:rPr>
                <w:rFonts w:hint="eastAsia"/>
                <w:b/>
                <w:color w:val="auto"/>
                <w:szCs w:val="21"/>
              </w:rPr>
              <w:t>注：除以上</w:t>
            </w:r>
            <w:r>
              <w:rPr>
                <w:b/>
                <w:color w:val="auto"/>
                <w:szCs w:val="21"/>
              </w:rPr>
              <w:t>三</w:t>
            </w:r>
            <w:r>
              <w:rPr>
                <w:rFonts w:hint="eastAsia"/>
                <w:b/>
                <w:color w:val="auto"/>
                <w:szCs w:val="21"/>
              </w:rPr>
              <w:t>种形式之外，提交其他证明材料视为未提供证明材料</w:t>
            </w:r>
            <w:r>
              <w:rPr>
                <w:b/>
                <w:color w:val="auto"/>
                <w:szCs w:val="21"/>
              </w:rPr>
              <w:t>，</w:t>
            </w:r>
            <w:r>
              <w:rPr>
                <w:rFonts w:hint="eastAsia"/>
                <w:b/>
                <w:color w:val="auto"/>
                <w:szCs w:val="21"/>
              </w:rPr>
              <w:t>未</w:t>
            </w:r>
            <w:r>
              <w:rPr>
                <w:b/>
                <w:color w:val="auto"/>
                <w:szCs w:val="21"/>
              </w:rPr>
              <w:t>提供的将视为未实质性响应该要求。</w:t>
            </w:r>
          </w:p>
          <w:p>
            <w:pPr>
              <w:rPr>
                <w:color w:val="auto"/>
                <w:szCs w:val="21"/>
              </w:rPr>
            </w:pPr>
            <w:r>
              <w:rPr>
                <w:color w:val="auto"/>
                <w:szCs w:val="21"/>
              </w:rPr>
              <w:t>检测报告或认证报告内容中若涉及外文说明，必须同时提供对应中文翻译说明，评标依据以中文翻译内容为准，外文说明仅供参考；产品检测报告应为报告正面、背面和附件标注的全部具体内容；产品检验报告的尺寸和清晰度应该能够在电脑上被阅读、识别和判断。如投标人的投标文件响应情况与技术支持材料不相符的，以技术支持材料为准。</w:t>
            </w:r>
          </w:p>
          <w:p>
            <w:pPr>
              <w:spacing w:line="300" w:lineRule="exact"/>
              <w:rPr>
                <w:color w:val="auto"/>
                <w:szCs w:val="21"/>
              </w:rPr>
            </w:pPr>
            <w:r>
              <w:rPr>
                <w:color w:val="auto"/>
                <w:szCs w:val="21"/>
              </w:rPr>
              <w:t>2.本表中如提及品牌型号，仅起参考作用。供应商可选用其他品牌型号替代，但这些替代的品牌型号要实质上参照或相当于或优于参考品牌型号及其技术参数性能（配置）要求。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675" w:type="dxa"/>
            <w:gridSpan w:val="2"/>
            <w:vAlign w:val="center"/>
          </w:tcPr>
          <w:p>
            <w:pPr>
              <w:spacing w:line="300" w:lineRule="exact"/>
              <w:jc w:val="center"/>
              <w:rPr>
                <w:color w:val="auto"/>
                <w:szCs w:val="21"/>
              </w:rPr>
            </w:pPr>
            <w:r>
              <w:rPr>
                <w:rFonts w:hint="eastAsia"/>
                <w:color w:val="auto"/>
                <w:szCs w:val="21"/>
              </w:rPr>
              <w:t>2</w:t>
            </w:r>
          </w:p>
        </w:tc>
        <w:tc>
          <w:tcPr>
            <w:tcW w:w="993" w:type="dxa"/>
            <w:vAlign w:val="center"/>
          </w:tcPr>
          <w:p>
            <w:pPr>
              <w:spacing w:line="300" w:lineRule="exact"/>
              <w:jc w:val="center"/>
              <w:rPr>
                <w:color w:val="auto"/>
                <w:szCs w:val="21"/>
              </w:rPr>
            </w:pPr>
            <w:r>
              <w:rPr>
                <w:color w:val="auto"/>
                <w:szCs w:val="21"/>
              </w:rPr>
              <w:t>核心产品</w:t>
            </w:r>
          </w:p>
        </w:tc>
        <w:tc>
          <w:tcPr>
            <w:tcW w:w="8079" w:type="dxa"/>
            <w:gridSpan w:val="2"/>
            <w:vAlign w:val="center"/>
          </w:tcPr>
          <w:p>
            <w:pPr>
              <w:spacing w:line="300" w:lineRule="exact"/>
              <w:jc w:val="left"/>
              <w:rPr>
                <w:color w:val="auto"/>
                <w:szCs w:val="21"/>
              </w:rPr>
            </w:pPr>
            <w:r>
              <w:rPr>
                <w:color w:val="auto"/>
                <w:szCs w:val="21"/>
              </w:rPr>
              <w:t>本项目（本分标）核心产品为：</w:t>
            </w:r>
            <w:r>
              <w:rPr>
                <w:color w:val="auto"/>
              </w:rPr>
              <w:t>第8项 标考高清</w:t>
            </w:r>
            <w:r>
              <w:rPr>
                <w:rFonts w:hint="eastAsia"/>
                <w:color w:val="auto"/>
              </w:rPr>
              <w:t>SIP</w:t>
            </w:r>
            <w:r>
              <w:rPr>
                <w:color w:val="auto"/>
              </w:rPr>
              <w:t>转发管理三合一平台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675" w:type="dxa"/>
            <w:gridSpan w:val="2"/>
            <w:vAlign w:val="center"/>
          </w:tcPr>
          <w:p>
            <w:pPr>
              <w:spacing w:line="300" w:lineRule="exact"/>
              <w:jc w:val="center"/>
              <w:rPr>
                <w:color w:val="auto"/>
                <w:szCs w:val="21"/>
              </w:rPr>
            </w:pPr>
            <w:r>
              <w:rPr>
                <w:rFonts w:hint="eastAsia"/>
                <w:color w:val="auto"/>
                <w:szCs w:val="21"/>
              </w:rPr>
              <w:t>3</w:t>
            </w:r>
          </w:p>
        </w:tc>
        <w:tc>
          <w:tcPr>
            <w:tcW w:w="993" w:type="dxa"/>
            <w:vAlign w:val="center"/>
          </w:tcPr>
          <w:p>
            <w:pPr>
              <w:spacing w:line="360" w:lineRule="exact"/>
              <w:jc w:val="center"/>
              <w:rPr>
                <w:color w:val="auto"/>
                <w:szCs w:val="21"/>
              </w:rPr>
            </w:pPr>
            <w:r>
              <w:rPr>
                <w:color w:val="auto"/>
                <w:szCs w:val="21"/>
              </w:rPr>
              <w:t>质量保证</w:t>
            </w:r>
          </w:p>
        </w:tc>
        <w:tc>
          <w:tcPr>
            <w:tcW w:w="8079" w:type="dxa"/>
            <w:gridSpan w:val="2"/>
            <w:vAlign w:val="center"/>
          </w:tcPr>
          <w:p>
            <w:pPr>
              <w:spacing w:line="300" w:lineRule="exact"/>
              <w:jc w:val="left"/>
              <w:rPr>
                <w:color w:val="auto"/>
                <w:szCs w:val="21"/>
              </w:rPr>
            </w:pPr>
            <w:r>
              <w:rPr>
                <w:color w:val="auto"/>
                <w:szCs w:val="21"/>
              </w:rPr>
              <w:t>1．供应商应明确承诺：</w:t>
            </w:r>
            <w:r>
              <w:rPr>
                <w:bCs/>
                <w:color w:val="auto"/>
                <w:kern w:val="0"/>
                <w:szCs w:val="21"/>
              </w:rPr>
              <w:t>技术参数要求</w:t>
            </w:r>
            <w:r>
              <w:rPr>
                <w:color w:val="auto"/>
                <w:szCs w:val="21"/>
              </w:rPr>
              <w:t>表中如无特别要求，则质保期为自验收合格之日起一年，</w:t>
            </w:r>
            <w:r>
              <w:rPr>
                <w:bCs/>
                <w:color w:val="auto"/>
                <w:kern w:val="0"/>
                <w:szCs w:val="21"/>
              </w:rPr>
              <w:t>技术参数要求</w:t>
            </w:r>
            <w:r>
              <w:rPr>
                <w:color w:val="auto"/>
                <w:szCs w:val="21"/>
              </w:rPr>
              <w:t>表中有特别要求的则以</w:t>
            </w:r>
            <w:r>
              <w:rPr>
                <w:bCs/>
                <w:color w:val="auto"/>
                <w:kern w:val="0"/>
                <w:szCs w:val="21"/>
              </w:rPr>
              <w:t>技术参数要求</w:t>
            </w:r>
            <w:r>
              <w:rPr>
                <w:color w:val="auto"/>
                <w:szCs w:val="21"/>
              </w:rPr>
              <w:t>表为准。</w:t>
            </w:r>
          </w:p>
          <w:p>
            <w:pPr>
              <w:spacing w:line="300" w:lineRule="exact"/>
              <w:jc w:val="left"/>
              <w:rPr>
                <w:color w:val="auto"/>
                <w:szCs w:val="21"/>
              </w:rPr>
            </w:pPr>
            <w:r>
              <w:rPr>
                <w:color w:val="auto"/>
                <w:szCs w:val="21"/>
              </w:rPr>
              <w:t>2．属于国家规定“三包”范围的，其质量保证期不得低于“三包”规定。中标人承诺质量保证期优于国家“三包”规定的，或优于招标文件规定的，按中标人实际承诺执行。</w:t>
            </w:r>
          </w:p>
          <w:p>
            <w:pPr>
              <w:spacing w:line="300" w:lineRule="exact"/>
              <w:jc w:val="left"/>
              <w:rPr>
                <w:color w:val="auto"/>
                <w:szCs w:val="21"/>
              </w:rPr>
            </w:pPr>
            <w:r>
              <w:rPr>
                <w:color w:val="auto"/>
                <w:szCs w:val="21"/>
              </w:rPr>
              <w:t>3．中标后产品或服务由制造商（指产品生产制造商或服务实际提供人）负责</w:t>
            </w:r>
            <w:r>
              <w:rPr>
                <w:rFonts w:hint="eastAsia"/>
                <w:color w:val="auto"/>
                <w:szCs w:val="21"/>
              </w:rPr>
              <w:t>质保期</w:t>
            </w:r>
            <w:r>
              <w:rPr>
                <w:color w:val="auto"/>
                <w:szCs w:val="21"/>
              </w:rPr>
              <w:t>内的售后服务的，供应商应当在投标文件中予以明确说明</w:t>
            </w:r>
            <w:r>
              <w:rPr>
                <w:rFonts w:hint="eastAsia"/>
                <w:color w:val="auto"/>
                <w:szCs w:val="21"/>
              </w:rPr>
              <w:t>，制造商提供的售后服务也应达到招标文件要求的标准，</w:t>
            </w:r>
            <w:r>
              <w:rPr>
                <w:color w:val="auto"/>
                <w:szCs w:val="21"/>
              </w:rPr>
              <w:t>相关的售后服务费用由</w:t>
            </w:r>
            <w:r>
              <w:rPr>
                <w:rFonts w:hint="eastAsia"/>
                <w:color w:val="auto"/>
                <w:szCs w:val="21"/>
              </w:rPr>
              <w:t>供应商向</w:t>
            </w:r>
            <w:r>
              <w:rPr>
                <w:color w:val="auto"/>
                <w:szCs w:val="21"/>
              </w:rPr>
              <w:t>制造商支付</w:t>
            </w:r>
            <w:r>
              <w:rPr>
                <w:rFonts w:hint="eastAsia"/>
                <w:color w:val="auto"/>
                <w:szCs w:val="21"/>
              </w:rPr>
              <w:t>，</w:t>
            </w:r>
            <w:r>
              <w:rPr>
                <w:color w:val="auto"/>
                <w:szCs w:val="21"/>
              </w:rPr>
              <w:t>供应商可视情况在投标报价中予以考虑</w:t>
            </w:r>
            <w:r>
              <w:rPr>
                <w:rFonts w:hint="eastAsia"/>
                <w:color w:val="auto"/>
                <w:szCs w:val="21"/>
              </w:rPr>
              <w:t>，</w:t>
            </w:r>
            <w:r>
              <w:rPr>
                <w:color w:val="auto"/>
                <w:szCs w:val="21"/>
              </w:rPr>
              <w:t>采购人不</w:t>
            </w:r>
            <w:r>
              <w:rPr>
                <w:rFonts w:hint="eastAsia"/>
                <w:color w:val="auto"/>
                <w:szCs w:val="21"/>
              </w:rPr>
              <w:t>予</w:t>
            </w:r>
            <w:r>
              <w:rPr>
                <w:color w:val="auto"/>
                <w:szCs w:val="21"/>
              </w:rPr>
              <w:t>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675" w:type="dxa"/>
            <w:gridSpan w:val="2"/>
            <w:vAlign w:val="center"/>
          </w:tcPr>
          <w:p>
            <w:pPr>
              <w:spacing w:line="300" w:lineRule="exact"/>
              <w:jc w:val="center"/>
              <w:rPr>
                <w:color w:val="auto"/>
                <w:szCs w:val="21"/>
              </w:rPr>
            </w:pPr>
            <w:r>
              <w:rPr>
                <w:rFonts w:hint="eastAsia"/>
                <w:color w:val="auto"/>
                <w:szCs w:val="21"/>
              </w:rPr>
              <w:t>4</w:t>
            </w:r>
          </w:p>
        </w:tc>
        <w:tc>
          <w:tcPr>
            <w:tcW w:w="993" w:type="dxa"/>
            <w:vAlign w:val="center"/>
          </w:tcPr>
          <w:p>
            <w:pPr>
              <w:spacing w:line="360" w:lineRule="exact"/>
              <w:jc w:val="center"/>
              <w:rPr>
                <w:color w:val="auto"/>
                <w:szCs w:val="21"/>
              </w:rPr>
            </w:pPr>
            <w:r>
              <w:rPr>
                <w:color w:val="auto"/>
                <w:szCs w:val="21"/>
              </w:rPr>
              <w:t>备品备件及易损件</w:t>
            </w:r>
          </w:p>
        </w:tc>
        <w:tc>
          <w:tcPr>
            <w:tcW w:w="8079" w:type="dxa"/>
            <w:gridSpan w:val="2"/>
            <w:vAlign w:val="center"/>
          </w:tcPr>
          <w:p>
            <w:pPr>
              <w:spacing w:line="300" w:lineRule="exact"/>
              <w:jc w:val="left"/>
              <w:rPr>
                <w:color w:val="auto"/>
                <w:szCs w:val="21"/>
              </w:rPr>
            </w:pPr>
            <w:r>
              <w:rPr>
                <w:color w:val="auto"/>
                <w:szCs w:val="21"/>
              </w:rPr>
              <w:t>中标人售后服务中，维修使用的备品备件及易损件应为原厂配件，未经采购人同意不得使用非原厂配件，质保期内维修使用的备品备件及易损件的费用</w:t>
            </w:r>
            <w:r>
              <w:rPr>
                <w:rFonts w:hint="eastAsia"/>
                <w:color w:val="auto"/>
                <w:szCs w:val="21"/>
              </w:rPr>
              <w:t>，</w:t>
            </w:r>
            <w:r>
              <w:rPr>
                <w:color w:val="auto"/>
                <w:szCs w:val="21"/>
              </w:rPr>
              <w:t>由中标人承担</w:t>
            </w:r>
            <w:r>
              <w:rPr>
                <w:rFonts w:hint="eastAsia"/>
                <w:color w:val="auto"/>
                <w:szCs w:val="21"/>
              </w:rPr>
              <w:t>。</w:t>
            </w:r>
            <w:r>
              <w:rPr>
                <w:color w:val="auto"/>
                <w:szCs w:val="21"/>
              </w:rPr>
              <w:t>质量保证期过后，采购人需要继续由原中标人提供售后服务的，该中标人应以优惠价格提供售后服务</w:t>
            </w:r>
            <w:r>
              <w:rPr>
                <w:rFonts w:hint="eastAsia"/>
                <w:color w:val="auto"/>
                <w:szCs w:val="21"/>
              </w:rPr>
              <w:t>，</w:t>
            </w:r>
            <w:r>
              <w:rPr>
                <w:color w:val="auto"/>
                <w:szCs w:val="21"/>
              </w:rPr>
              <w:t>常用的、容易损坏的备品备件及易损件的优惠价格清单须在投标文件中列出。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9" w:hRule="atLeast"/>
        </w:trPr>
        <w:tc>
          <w:tcPr>
            <w:tcW w:w="675" w:type="dxa"/>
            <w:gridSpan w:val="2"/>
            <w:vAlign w:val="center"/>
          </w:tcPr>
          <w:p>
            <w:pPr>
              <w:spacing w:line="300" w:lineRule="exact"/>
              <w:jc w:val="center"/>
              <w:rPr>
                <w:color w:val="auto"/>
                <w:szCs w:val="21"/>
              </w:rPr>
            </w:pPr>
            <w:r>
              <w:rPr>
                <w:rFonts w:hint="eastAsia"/>
                <w:color w:val="auto"/>
                <w:szCs w:val="21"/>
              </w:rPr>
              <w:t>5</w:t>
            </w:r>
          </w:p>
        </w:tc>
        <w:tc>
          <w:tcPr>
            <w:tcW w:w="993" w:type="dxa"/>
            <w:vAlign w:val="center"/>
          </w:tcPr>
          <w:p>
            <w:pPr>
              <w:spacing w:line="360" w:lineRule="exact"/>
              <w:jc w:val="center"/>
              <w:rPr>
                <w:color w:val="auto"/>
                <w:szCs w:val="21"/>
              </w:rPr>
            </w:pPr>
            <w:r>
              <w:rPr>
                <w:rFonts w:hint="eastAsia"/>
                <w:color w:val="auto"/>
                <w:szCs w:val="21"/>
              </w:rPr>
              <w:t>包装要求</w:t>
            </w:r>
          </w:p>
        </w:tc>
        <w:tc>
          <w:tcPr>
            <w:tcW w:w="8079" w:type="dxa"/>
            <w:gridSpan w:val="2"/>
            <w:vAlign w:val="center"/>
          </w:tcPr>
          <w:p>
            <w:pPr>
              <w:spacing w:line="300" w:lineRule="exact"/>
              <w:jc w:val="left"/>
              <w:rPr>
                <w:color w:val="auto"/>
                <w:szCs w:val="21"/>
              </w:rPr>
            </w:pPr>
            <w:r>
              <w:rPr>
                <w:rFonts w:hint="eastAsia"/>
                <w:color w:val="auto"/>
                <w:szCs w:val="21"/>
              </w:rPr>
              <w:t>根据《财政部等三部门联合印发商品包装和快递包装政府采购需求标准（试行）》财办库【2</w:t>
            </w:r>
            <w:r>
              <w:rPr>
                <w:color w:val="auto"/>
                <w:szCs w:val="21"/>
              </w:rPr>
              <w:t>020</w:t>
            </w:r>
            <w:r>
              <w:rPr>
                <w:rFonts w:hint="eastAsia"/>
                <w:color w:val="auto"/>
                <w:szCs w:val="21"/>
              </w:rPr>
              <w:t>】1</w:t>
            </w:r>
            <w:r>
              <w:rPr>
                <w:color w:val="auto"/>
                <w:szCs w:val="21"/>
              </w:rPr>
              <w:t>23</w:t>
            </w:r>
            <w:r>
              <w:rPr>
                <w:rFonts w:hint="eastAsia"/>
                <w:color w:val="auto"/>
                <w:szCs w:val="21"/>
              </w:rPr>
              <w:t>号文规定，若投标产品使用塑料、纸质、木质等包装材料时应满足《商品包装政府采购需求标准（试行）》要求（详见合同附件5），若投标产品需要快递包装，快递封装材料应满足《快递包装政府采购需求标准（试行）》要求（详见合同附件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9747" w:type="dxa"/>
            <w:gridSpan w:val="5"/>
            <w:vAlign w:val="center"/>
          </w:tcPr>
          <w:p>
            <w:pPr>
              <w:widowControl/>
              <w:spacing w:line="240" w:lineRule="exact"/>
              <w:jc w:val="left"/>
              <w:rPr>
                <w:bCs/>
                <w:color w:val="auto"/>
                <w:kern w:val="0"/>
                <w:szCs w:val="21"/>
              </w:rPr>
            </w:pPr>
            <w:r>
              <w:rPr>
                <w:bCs/>
                <w:color w:val="auto"/>
                <w:kern w:val="0"/>
                <w:szCs w:val="21"/>
              </w:rPr>
              <w:t>标的名称、数量、需满足的质量、安全、技术规格、物理特性等要求详见下表</w:t>
            </w:r>
            <w:r>
              <w:rPr>
                <w:rFonts w:hint="eastAsia"/>
                <w:bCs/>
                <w:color w:val="auto"/>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widowControl/>
              <w:spacing w:line="240" w:lineRule="exact"/>
              <w:jc w:val="center"/>
              <w:rPr>
                <w:bCs/>
                <w:color w:val="auto"/>
                <w:kern w:val="0"/>
                <w:szCs w:val="21"/>
              </w:rPr>
            </w:pPr>
            <w:r>
              <w:rPr>
                <w:bCs/>
                <w:color w:val="auto"/>
                <w:kern w:val="0"/>
                <w:szCs w:val="21"/>
              </w:rPr>
              <w:t>序号</w:t>
            </w:r>
          </w:p>
        </w:tc>
        <w:tc>
          <w:tcPr>
            <w:tcW w:w="1134" w:type="dxa"/>
            <w:gridSpan w:val="2"/>
            <w:vAlign w:val="center"/>
          </w:tcPr>
          <w:p>
            <w:pPr>
              <w:widowControl/>
              <w:spacing w:line="240" w:lineRule="exact"/>
              <w:jc w:val="center"/>
              <w:rPr>
                <w:bCs/>
                <w:color w:val="auto"/>
                <w:kern w:val="0"/>
                <w:szCs w:val="21"/>
              </w:rPr>
            </w:pPr>
            <w:r>
              <w:rPr>
                <w:bCs/>
                <w:color w:val="auto"/>
                <w:kern w:val="0"/>
                <w:szCs w:val="21"/>
              </w:rPr>
              <w:t>货物名称</w:t>
            </w:r>
          </w:p>
        </w:tc>
        <w:tc>
          <w:tcPr>
            <w:tcW w:w="567" w:type="dxa"/>
            <w:vAlign w:val="center"/>
          </w:tcPr>
          <w:p>
            <w:pPr>
              <w:widowControl/>
              <w:spacing w:line="240" w:lineRule="exact"/>
              <w:jc w:val="center"/>
              <w:rPr>
                <w:bCs/>
                <w:color w:val="auto"/>
                <w:kern w:val="0"/>
                <w:szCs w:val="21"/>
              </w:rPr>
            </w:pPr>
            <w:r>
              <w:rPr>
                <w:bCs/>
                <w:color w:val="auto"/>
                <w:kern w:val="0"/>
                <w:szCs w:val="21"/>
              </w:rPr>
              <w:t>数量</w:t>
            </w:r>
          </w:p>
        </w:tc>
        <w:tc>
          <w:tcPr>
            <w:tcW w:w="7512" w:type="dxa"/>
            <w:vAlign w:val="center"/>
          </w:tcPr>
          <w:p>
            <w:pPr>
              <w:widowControl/>
              <w:spacing w:line="240" w:lineRule="exact"/>
              <w:jc w:val="center"/>
              <w:rPr>
                <w:bCs/>
                <w:color w:val="auto"/>
                <w:kern w:val="0"/>
                <w:szCs w:val="21"/>
              </w:rPr>
            </w:pPr>
            <w:r>
              <w:rPr>
                <w:bCs/>
                <w:color w:val="auto"/>
                <w:kern w:val="0"/>
                <w:szCs w:val="21"/>
              </w:rPr>
              <w:t>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widowControl/>
              <w:jc w:val="center"/>
              <w:rPr>
                <w:color w:val="auto"/>
                <w:szCs w:val="21"/>
              </w:rPr>
            </w:pPr>
            <w:r>
              <w:rPr>
                <w:color w:val="auto"/>
                <w:kern w:val="0"/>
                <w:szCs w:val="21"/>
              </w:rPr>
              <w:t>1</w:t>
            </w:r>
          </w:p>
        </w:tc>
        <w:tc>
          <w:tcPr>
            <w:tcW w:w="1134" w:type="dxa"/>
            <w:gridSpan w:val="2"/>
            <w:vAlign w:val="center"/>
          </w:tcPr>
          <w:p>
            <w:pPr>
              <w:widowControl/>
              <w:jc w:val="center"/>
              <w:rPr>
                <w:bCs/>
                <w:color w:val="auto"/>
                <w:kern w:val="0"/>
                <w:szCs w:val="21"/>
              </w:rPr>
            </w:pPr>
            <w:r>
              <w:rPr>
                <w:color w:val="auto"/>
                <w:szCs w:val="21"/>
              </w:rPr>
              <w:t>网络流媒体存储平台</w:t>
            </w:r>
          </w:p>
        </w:tc>
        <w:tc>
          <w:tcPr>
            <w:tcW w:w="567" w:type="dxa"/>
            <w:vAlign w:val="center"/>
          </w:tcPr>
          <w:p>
            <w:pPr>
              <w:jc w:val="center"/>
              <w:rPr>
                <w:bCs/>
                <w:color w:val="auto"/>
                <w:kern w:val="0"/>
                <w:szCs w:val="21"/>
              </w:rPr>
            </w:pPr>
            <w:r>
              <w:rPr>
                <w:color w:val="auto"/>
                <w:szCs w:val="21"/>
              </w:rPr>
              <w:t>2台</w:t>
            </w:r>
          </w:p>
        </w:tc>
        <w:tc>
          <w:tcPr>
            <w:tcW w:w="7512" w:type="dxa"/>
            <w:vAlign w:val="top"/>
          </w:tcPr>
          <w:p>
            <w:pPr>
              <w:pStyle w:val="50"/>
              <w:tabs>
                <w:tab w:val="left" w:pos="4"/>
              </w:tabs>
              <w:adjustRightInd w:val="0"/>
              <w:snapToGrid w:val="0"/>
              <w:spacing w:after="0" w:line="240" w:lineRule="auto"/>
              <w:jc w:val="left"/>
              <w:rPr>
                <w:color w:val="auto"/>
                <w:sz w:val="21"/>
                <w:szCs w:val="21"/>
              </w:rPr>
            </w:pPr>
            <w:r>
              <w:rPr>
                <w:color w:val="auto"/>
                <w:sz w:val="21"/>
                <w:szCs w:val="21"/>
              </w:rPr>
              <w:t>▲1.符合《国家教育考试网上巡查系统视频标准技术规范（2017版）》相关技术规范，</w:t>
            </w:r>
            <w:r>
              <w:rPr>
                <w:rFonts w:hint="eastAsia"/>
                <w:color w:val="auto"/>
                <w:sz w:val="21"/>
                <w:szCs w:val="21"/>
              </w:rPr>
              <w:t>具有国家认定或国际认证的第三方检测机构出具的检测报告（提供复印件加盖供应商公章）</w:t>
            </w:r>
            <w:r>
              <w:rPr>
                <w:color w:val="auto"/>
                <w:sz w:val="21"/>
                <w:szCs w:val="21"/>
              </w:rPr>
              <w:t>；</w:t>
            </w:r>
          </w:p>
          <w:p>
            <w:pPr>
              <w:pStyle w:val="50"/>
              <w:tabs>
                <w:tab w:val="left" w:pos="4"/>
              </w:tabs>
              <w:adjustRightInd w:val="0"/>
              <w:snapToGrid w:val="0"/>
              <w:spacing w:after="0" w:line="240" w:lineRule="auto"/>
              <w:jc w:val="left"/>
              <w:rPr>
                <w:color w:val="auto"/>
                <w:sz w:val="21"/>
                <w:szCs w:val="21"/>
              </w:rPr>
            </w:pPr>
            <w:r>
              <w:rPr>
                <w:color w:val="auto"/>
                <w:sz w:val="21"/>
                <w:szCs w:val="21"/>
              </w:rPr>
              <w:t>2.采用嵌入式Linux系统，工业级嵌入式微控制器；</w:t>
            </w:r>
          </w:p>
          <w:p>
            <w:pPr>
              <w:pStyle w:val="50"/>
              <w:tabs>
                <w:tab w:val="left" w:pos="4"/>
              </w:tabs>
              <w:adjustRightInd w:val="0"/>
              <w:snapToGrid w:val="0"/>
              <w:spacing w:after="0" w:line="240" w:lineRule="auto"/>
              <w:jc w:val="left"/>
              <w:rPr>
                <w:color w:val="auto"/>
                <w:sz w:val="21"/>
                <w:szCs w:val="21"/>
              </w:rPr>
            </w:pPr>
            <w:r>
              <w:rPr>
                <w:color w:val="auto"/>
                <w:sz w:val="21"/>
                <w:szCs w:val="21"/>
              </w:rPr>
              <w:t>3.专业的嵌入式软硬件设计，系统运行稳定可靠；</w:t>
            </w:r>
          </w:p>
          <w:p>
            <w:pPr>
              <w:pStyle w:val="50"/>
              <w:tabs>
                <w:tab w:val="left" w:pos="4"/>
              </w:tabs>
              <w:adjustRightInd w:val="0"/>
              <w:snapToGrid w:val="0"/>
              <w:spacing w:after="0" w:line="240" w:lineRule="auto"/>
              <w:jc w:val="left"/>
              <w:rPr>
                <w:color w:val="auto"/>
                <w:sz w:val="21"/>
                <w:szCs w:val="21"/>
              </w:rPr>
            </w:pPr>
            <w:r>
              <w:rPr>
                <w:rFonts w:hint="eastAsia" w:eastAsia="黑体"/>
                <w:b/>
                <w:color w:val="auto"/>
                <w:sz w:val="24"/>
                <w:szCs w:val="21"/>
              </w:rPr>
              <w:t>＃</w:t>
            </w:r>
            <w:r>
              <w:rPr>
                <w:color w:val="auto"/>
                <w:sz w:val="21"/>
                <w:szCs w:val="21"/>
              </w:rPr>
              <w:t>4.模块化机构，支持双电源、双风扇，可插拔式安装各模块，风扇和电源支持热插拔，可根据机箱内温度自动调节风扇转速</w:t>
            </w:r>
            <w:r>
              <w:rPr>
                <w:rFonts w:hint="eastAsia"/>
                <w:color w:val="auto"/>
                <w:sz w:val="21"/>
                <w:szCs w:val="21"/>
              </w:rPr>
              <w:t>。具有国家认定或国际认证的第三方检测机构出具的检测报告（提供复印件加盖供应商公章）</w:t>
            </w:r>
            <w:r>
              <w:rPr>
                <w:color w:val="auto"/>
                <w:sz w:val="21"/>
                <w:szCs w:val="21"/>
              </w:rPr>
              <w:t>；</w:t>
            </w:r>
          </w:p>
          <w:p>
            <w:pPr>
              <w:pStyle w:val="50"/>
              <w:tabs>
                <w:tab w:val="left" w:pos="4"/>
              </w:tabs>
              <w:adjustRightInd w:val="0"/>
              <w:snapToGrid w:val="0"/>
              <w:spacing w:after="0" w:line="240" w:lineRule="auto"/>
              <w:jc w:val="left"/>
              <w:rPr>
                <w:color w:val="auto"/>
                <w:sz w:val="21"/>
                <w:szCs w:val="21"/>
              </w:rPr>
            </w:pPr>
            <w:r>
              <w:rPr>
                <w:rFonts w:hint="eastAsia" w:eastAsia="黑体"/>
                <w:b/>
                <w:color w:val="auto"/>
                <w:sz w:val="24"/>
                <w:szCs w:val="21"/>
              </w:rPr>
              <w:t>＃</w:t>
            </w:r>
            <w:r>
              <w:rPr>
                <w:color w:val="auto"/>
                <w:sz w:val="21"/>
                <w:szCs w:val="21"/>
              </w:rPr>
              <w:t>5.可自适应接入H.265、H.264、MPEG4视频编码格式的IPC，支持Program Stream（系统流）和Transition Stream（传输流）封装格式的网络视频，并可接入G711alaw、G711ulaw、G.722.1、G726、AAC音频编码格式的IPC，</w:t>
            </w:r>
            <w:r>
              <w:rPr>
                <w:rFonts w:hint="eastAsia"/>
                <w:color w:val="auto"/>
                <w:sz w:val="21"/>
                <w:szCs w:val="21"/>
              </w:rPr>
              <w:t>具有国家认定或国际认证的第三方检测机构出具的检测报告（提供复印件加盖供应商公章）</w:t>
            </w:r>
            <w:r>
              <w:rPr>
                <w:color w:val="auto"/>
                <w:sz w:val="21"/>
                <w:szCs w:val="21"/>
              </w:rPr>
              <w:t>；</w:t>
            </w:r>
          </w:p>
          <w:p>
            <w:pPr>
              <w:pStyle w:val="50"/>
              <w:tabs>
                <w:tab w:val="left" w:pos="4"/>
              </w:tabs>
              <w:adjustRightInd w:val="0"/>
              <w:snapToGrid w:val="0"/>
              <w:spacing w:after="0" w:line="240" w:lineRule="auto"/>
              <w:jc w:val="left"/>
              <w:rPr>
                <w:color w:val="auto"/>
                <w:sz w:val="21"/>
                <w:szCs w:val="21"/>
              </w:rPr>
            </w:pPr>
            <w:r>
              <w:rPr>
                <w:color w:val="auto"/>
                <w:sz w:val="21"/>
                <w:szCs w:val="21"/>
              </w:rPr>
              <w:t>6.支持硬盘热插拔，支持RAID0、RAID1、RAID5，RAID6，RAID10，支持全局热备盘；</w:t>
            </w:r>
          </w:p>
          <w:p>
            <w:pPr>
              <w:pStyle w:val="50"/>
              <w:tabs>
                <w:tab w:val="left" w:pos="4"/>
              </w:tabs>
              <w:adjustRightInd w:val="0"/>
              <w:snapToGrid w:val="0"/>
              <w:spacing w:after="0" w:line="240" w:lineRule="auto"/>
              <w:jc w:val="left"/>
              <w:rPr>
                <w:color w:val="auto"/>
                <w:sz w:val="21"/>
                <w:szCs w:val="21"/>
              </w:rPr>
            </w:pPr>
            <w:r>
              <w:rPr>
                <w:color w:val="auto"/>
                <w:sz w:val="21"/>
                <w:szCs w:val="21"/>
              </w:rPr>
              <w:t>7.支持1200W像素高清网络视频的预览、存储与回放；</w:t>
            </w:r>
          </w:p>
          <w:p>
            <w:pPr>
              <w:pStyle w:val="50"/>
              <w:tabs>
                <w:tab w:val="left" w:pos="4"/>
              </w:tabs>
              <w:adjustRightInd w:val="0"/>
              <w:snapToGrid w:val="0"/>
              <w:spacing w:after="0" w:line="240" w:lineRule="auto"/>
              <w:jc w:val="left"/>
              <w:rPr>
                <w:color w:val="auto"/>
                <w:sz w:val="21"/>
                <w:szCs w:val="21"/>
              </w:rPr>
            </w:pPr>
            <w:r>
              <w:rPr>
                <w:color w:val="auto"/>
                <w:sz w:val="21"/>
                <w:szCs w:val="21"/>
              </w:rPr>
              <w:t>8.支持512Mbps输入带宽，最大可接入128路高清网络视频；</w:t>
            </w:r>
          </w:p>
          <w:p>
            <w:pPr>
              <w:pStyle w:val="50"/>
              <w:tabs>
                <w:tab w:val="left" w:pos="4"/>
              </w:tabs>
              <w:adjustRightInd w:val="0"/>
              <w:snapToGrid w:val="0"/>
              <w:spacing w:after="0" w:line="240" w:lineRule="auto"/>
              <w:jc w:val="left"/>
              <w:rPr>
                <w:color w:val="auto"/>
                <w:sz w:val="21"/>
                <w:szCs w:val="21"/>
              </w:rPr>
            </w:pPr>
            <w:r>
              <w:rPr>
                <w:color w:val="auto"/>
                <w:sz w:val="21"/>
                <w:szCs w:val="21"/>
              </w:rPr>
              <w:t>9.支持数字水印，防篡改；</w:t>
            </w:r>
          </w:p>
          <w:p>
            <w:pPr>
              <w:pStyle w:val="50"/>
              <w:tabs>
                <w:tab w:val="left" w:pos="4"/>
              </w:tabs>
              <w:adjustRightInd w:val="0"/>
              <w:snapToGrid w:val="0"/>
              <w:spacing w:after="0" w:line="240" w:lineRule="auto"/>
              <w:jc w:val="left"/>
              <w:rPr>
                <w:color w:val="auto"/>
                <w:sz w:val="21"/>
                <w:szCs w:val="21"/>
              </w:rPr>
            </w:pPr>
            <w:r>
              <w:rPr>
                <w:color w:val="auto"/>
                <w:sz w:val="21"/>
                <w:szCs w:val="21"/>
              </w:rPr>
              <w:t>10.支持SMART IPC越界、进入区域、离开区域、区域入侵、徘徊、人员聚集、快速移动、停车侦测、物品遗留、物品拿取、音频输入异常、声强突变、虚焦，以及场景变更等多种智能侦测接入与联动；</w:t>
            </w:r>
          </w:p>
          <w:p>
            <w:pPr>
              <w:pStyle w:val="50"/>
              <w:tabs>
                <w:tab w:val="left" w:pos="4"/>
              </w:tabs>
              <w:adjustRightInd w:val="0"/>
              <w:snapToGrid w:val="0"/>
              <w:spacing w:after="0" w:line="240" w:lineRule="auto"/>
              <w:jc w:val="left"/>
              <w:rPr>
                <w:color w:val="auto"/>
                <w:sz w:val="21"/>
                <w:szCs w:val="21"/>
              </w:rPr>
            </w:pPr>
            <w:r>
              <w:rPr>
                <w:color w:val="auto"/>
                <w:sz w:val="21"/>
                <w:szCs w:val="21"/>
              </w:rPr>
              <w:t>11.支持智能搜索、回放及备份功能，有效提高录像检索与回放效率；</w:t>
            </w:r>
          </w:p>
          <w:p>
            <w:pPr>
              <w:pStyle w:val="50"/>
              <w:tabs>
                <w:tab w:val="left" w:pos="4"/>
              </w:tabs>
              <w:adjustRightInd w:val="0"/>
              <w:snapToGrid w:val="0"/>
              <w:spacing w:after="0" w:line="240" w:lineRule="auto"/>
              <w:jc w:val="left"/>
              <w:rPr>
                <w:color w:val="auto"/>
                <w:sz w:val="21"/>
                <w:szCs w:val="21"/>
              </w:rPr>
            </w:pPr>
            <w:r>
              <w:rPr>
                <w:color w:val="auto"/>
                <w:sz w:val="21"/>
                <w:szCs w:val="21"/>
              </w:rPr>
              <w:t>12.支持智能回放，按图像的来源、记录时间、报警事件类别等多种方式对存储的图像数据进行检索；</w:t>
            </w:r>
          </w:p>
          <w:p>
            <w:pPr>
              <w:tabs>
                <w:tab w:val="left" w:pos="4"/>
              </w:tabs>
              <w:rPr>
                <w:color w:val="auto"/>
                <w:szCs w:val="21"/>
              </w:rPr>
            </w:pPr>
            <w:r>
              <w:rPr>
                <w:color w:val="auto"/>
                <w:szCs w:val="21"/>
              </w:rPr>
              <w:t>13.支持IPC集中管理，包括IPC参数配置、信息的导入/导出、信息的实时获取、语音对讲和升级等功能；</w:t>
            </w:r>
          </w:p>
          <w:p>
            <w:pPr>
              <w:tabs>
                <w:tab w:val="left" w:pos="4"/>
              </w:tabs>
              <w:rPr>
                <w:color w:val="auto"/>
                <w:szCs w:val="21"/>
              </w:rPr>
            </w:pPr>
            <w:r>
              <w:rPr>
                <w:color w:val="auto"/>
                <w:szCs w:val="21"/>
              </w:rPr>
              <w:t>14.设备接口：具有≥2个HDMI接口、≥1个VGA接口、≥4个RJ45网络接口、≥4个光传输接口、≥2个USB2.0接口、≥2个USB3.0接口、、≥9个RS485接口、≥1个键盘485接口、≥16路报警输入接口、≥16路报警输出接口、≥1个eSata接口、可接入不少于16块SATA接口硬盘；</w:t>
            </w:r>
          </w:p>
          <w:p>
            <w:pPr>
              <w:pStyle w:val="148"/>
              <w:ind w:firstLine="0" w:firstLineChars="0"/>
              <w:rPr>
                <w:bCs/>
                <w:color w:val="auto"/>
                <w:kern w:val="0"/>
                <w:szCs w:val="21"/>
              </w:rPr>
            </w:pPr>
            <w:r>
              <w:rPr>
                <w:rFonts w:hint="eastAsia" w:ascii="Times New Roman" w:hAnsi="Times New Roman" w:eastAsia="黑体"/>
                <w:b/>
                <w:color w:val="auto"/>
                <w:sz w:val="24"/>
                <w:szCs w:val="21"/>
              </w:rPr>
              <w:t>＃</w:t>
            </w:r>
            <w:r>
              <w:rPr>
                <w:rFonts w:ascii="Times New Roman" w:hAnsi="Times New Roman"/>
                <w:color w:val="auto"/>
                <w:szCs w:val="21"/>
              </w:rPr>
              <w:t>15.支持智能侦测报警功能。包含：行为分析侦测、人脸侦测、客流统计、热度图等功能；设备接入非SmartIPC， 可对该通道配置越界侦测、区域入侵侦测报警，当触发报警时，样机可联动录像、弹出报警画面、声音警告、上传中心、发送邮件、触发报警输出，并按通道、时间、类型检索报警录像，搜索结果支持列表展现形式。</w:t>
            </w:r>
            <w:r>
              <w:rPr>
                <w:rFonts w:hint="eastAsia" w:ascii="Times New Roman" w:hAnsi="Times New Roman"/>
                <w:color w:val="auto"/>
                <w:szCs w:val="21"/>
              </w:rPr>
              <w:t>具有国家认定或国际认证的第三方检测机构出具的检测报告（提供复印件加盖供应商公章）</w:t>
            </w:r>
            <w:r>
              <w:rPr>
                <w:rFonts w:ascii="Times New Roman" w:hAnsi="Times New Roman"/>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widowControl/>
              <w:jc w:val="center"/>
              <w:rPr>
                <w:color w:val="auto"/>
                <w:szCs w:val="21"/>
              </w:rPr>
            </w:pPr>
            <w:r>
              <w:rPr>
                <w:color w:val="auto"/>
                <w:kern w:val="0"/>
                <w:szCs w:val="21"/>
              </w:rPr>
              <w:t>2</w:t>
            </w:r>
          </w:p>
        </w:tc>
        <w:tc>
          <w:tcPr>
            <w:tcW w:w="1134" w:type="dxa"/>
            <w:gridSpan w:val="2"/>
            <w:vAlign w:val="center"/>
          </w:tcPr>
          <w:p>
            <w:pPr>
              <w:widowControl/>
              <w:jc w:val="center"/>
              <w:rPr>
                <w:bCs/>
                <w:color w:val="auto"/>
                <w:kern w:val="0"/>
                <w:szCs w:val="21"/>
              </w:rPr>
            </w:pPr>
            <w:r>
              <w:rPr>
                <w:color w:val="auto"/>
                <w:kern w:val="0"/>
                <w:szCs w:val="21"/>
              </w:rPr>
              <w:t>硬盘</w:t>
            </w:r>
          </w:p>
        </w:tc>
        <w:tc>
          <w:tcPr>
            <w:tcW w:w="567" w:type="dxa"/>
            <w:vAlign w:val="center"/>
          </w:tcPr>
          <w:p>
            <w:pPr>
              <w:widowControl/>
              <w:jc w:val="center"/>
              <w:rPr>
                <w:bCs/>
                <w:color w:val="auto"/>
                <w:kern w:val="0"/>
                <w:szCs w:val="21"/>
              </w:rPr>
            </w:pPr>
            <w:r>
              <w:rPr>
                <w:color w:val="auto"/>
                <w:kern w:val="0"/>
                <w:szCs w:val="21"/>
              </w:rPr>
              <w:t>32块</w:t>
            </w:r>
          </w:p>
        </w:tc>
        <w:tc>
          <w:tcPr>
            <w:tcW w:w="7512" w:type="dxa"/>
            <w:vAlign w:val="top"/>
          </w:tcPr>
          <w:p>
            <w:pPr>
              <w:rPr>
                <w:bCs/>
                <w:color w:val="auto"/>
                <w:kern w:val="0"/>
                <w:szCs w:val="21"/>
              </w:rPr>
            </w:pPr>
            <w:r>
              <w:rPr>
                <w:color w:val="auto"/>
                <w:kern w:val="0"/>
                <w:szCs w:val="21"/>
              </w:rPr>
              <w:t>1.容量≥4TB；</w:t>
            </w:r>
            <w:r>
              <w:rPr>
                <w:color w:val="auto"/>
                <w:kern w:val="0"/>
                <w:szCs w:val="21"/>
              </w:rPr>
              <w:br w:type="textWrapping"/>
            </w:r>
            <w:r>
              <w:rPr>
                <w:color w:val="auto"/>
                <w:kern w:val="0"/>
                <w:szCs w:val="21"/>
              </w:rPr>
              <w:t>2.硬盘接口类型为SATA3.0，单碟容量≥1000GB；</w:t>
            </w:r>
            <w:r>
              <w:rPr>
                <w:color w:val="auto"/>
                <w:kern w:val="0"/>
                <w:szCs w:val="21"/>
              </w:rPr>
              <w:br w:type="textWrapping"/>
            </w:r>
            <w:r>
              <w:rPr>
                <w:color w:val="auto"/>
                <w:kern w:val="0"/>
                <w:szCs w:val="21"/>
              </w:rPr>
              <w:t>3.硬盘转数≥7200rpm，缓存≥128MB；</w:t>
            </w:r>
            <w:r>
              <w:rPr>
                <w:color w:val="auto"/>
                <w:kern w:val="0"/>
                <w:szCs w:val="21"/>
              </w:rPr>
              <w:br w:type="textWrapping"/>
            </w:r>
            <w:r>
              <w:rPr>
                <w:color w:val="auto"/>
                <w:kern w:val="0"/>
                <w:szCs w:val="21"/>
              </w:rPr>
              <w:t>4.平均寻道时间：读取：&lt;8.5ms，写入：&lt;9.5ms；接口速率6Gb/秒。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widowControl/>
              <w:jc w:val="center"/>
              <w:rPr>
                <w:color w:val="auto"/>
                <w:szCs w:val="21"/>
              </w:rPr>
            </w:pPr>
            <w:r>
              <w:rPr>
                <w:color w:val="auto"/>
                <w:kern w:val="0"/>
                <w:szCs w:val="21"/>
              </w:rPr>
              <w:t>3</w:t>
            </w:r>
          </w:p>
        </w:tc>
        <w:tc>
          <w:tcPr>
            <w:tcW w:w="1134" w:type="dxa"/>
            <w:gridSpan w:val="2"/>
            <w:vAlign w:val="center"/>
          </w:tcPr>
          <w:p>
            <w:pPr>
              <w:widowControl/>
              <w:jc w:val="center"/>
              <w:rPr>
                <w:bCs/>
                <w:color w:val="auto"/>
                <w:kern w:val="0"/>
                <w:szCs w:val="21"/>
              </w:rPr>
            </w:pPr>
            <w:r>
              <w:rPr>
                <w:color w:val="auto"/>
                <w:szCs w:val="21"/>
              </w:rPr>
              <w:t>红外高清半球摄像机</w:t>
            </w:r>
          </w:p>
        </w:tc>
        <w:tc>
          <w:tcPr>
            <w:tcW w:w="567" w:type="dxa"/>
            <w:vAlign w:val="center"/>
          </w:tcPr>
          <w:p>
            <w:pPr>
              <w:widowControl/>
              <w:jc w:val="center"/>
              <w:rPr>
                <w:bCs/>
                <w:color w:val="auto"/>
                <w:kern w:val="0"/>
                <w:szCs w:val="21"/>
              </w:rPr>
            </w:pPr>
            <w:r>
              <w:rPr>
                <w:color w:val="auto"/>
                <w:kern w:val="0"/>
                <w:szCs w:val="21"/>
              </w:rPr>
              <w:t>128台</w:t>
            </w:r>
          </w:p>
        </w:tc>
        <w:tc>
          <w:tcPr>
            <w:tcW w:w="7512" w:type="dxa"/>
            <w:vAlign w:val="top"/>
          </w:tcPr>
          <w:p>
            <w:pPr>
              <w:tabs>
                <w:tab w:val="left" w:pos="253"/>
              </w:tabs>
              <w:wordWrap w:val="0"/>
              <w:adjustRightInd w:val="0"/>
              <w:snapToGrid w:val="0"/>
              <w:jc w:val="left"/>
              <w:outlineLvl w:val="0"/>
              <w:rPr>
                <w:color w:val="auto"/>
                <w:szCs w:val="21"/>
              </w:rPr>
            </w:pPr>
            <w:r>
              <w:rPr>
                <w:color w:val="auto"/>
                <w:szCs w:val="21"/>
              </w:rPr>
              <w:t>▲1.符合《国家教育考试网上巡查系统视频标准技术规范（2017版）》相关技术规范，</w:t>
            </w:r>
            <w:r>
              <w:rPr>
                <w:rFonts w:hint="eastAsia"/>
                <w:color w:val="auto"/>
                <w:szCs w:val="21"/>
              </w:rPr>
              <w:t>具有国家认定或国际认证的第三方检测机构出具的检测报告（提供复印件加盖供应商公章）</w:t>
            </w:r>
            <w:r>
              <w:rPr>
                <w:color w:val="auto"/>
                <w:szCs w:val="21"/>
              </w:rPr>
              <w:t>；</w:t>
            </w:r>
          </w:p>
          <w:p>
            <w:pPr>
              <w:tabs>
                <w:tab w:val="left" w:pos="253"/>
              </w:tabs>
              <w:wordWrap w:val="0"/>
              <w:adjustRightInd w:val="0"/>
              <w:snapToGrid w:val="0"/>
              <w:jc w:val="left"/>
              <w:outlineLvl w:val="0"/>
              <w:rPr>
                <w:color w:val="auto"/>
                <w:szCs w:val="21"/>
              </w:rPr>
            </w:pPr>
            <w:r>
              <w:rPr>
                <w:color w:val="auto"/>
                <w:szCs w:val="21"/>
              </w:rPr>
              <w:t>2.最高分辨率可达 2560 × 1440@25fps；</w:t>
            </w:r>
          </w:p>
          <w:p>
            <w:pPr>
              <w:tabs>
                <w:tab w:val="left" w:pos="253"/>
              </w:tabs>
              <w:wordWrap w:val="0"/>
              <w:adjustRightInd w:val="0"/>
              <w:snapToGrid w:val="0"/>
              <w:jc w:val="left"/>
              <w:outlineLvl w:val="0"/>
              <w:rPr>
                <w:color w:val="auto"/>
                <w:szCs w:val="21"/>
              </w:rPr>
            </w:pPr>
            <w:r>
              <w:rPr>
                <w:color w:val="auto"/>
                <w:szCs w:val="21"/>
              </w:rPr>
              <w:t>3.光圈F1.4，镜头焦距范围不低于2.8-12mm</w:t>
            </w:r>
            <w:r>
              <w:rPr>
                <w:rFonts w:hint="eastAsia"/>
                <w:color w:val="auto"/>
                <w:szCs w:val="21"/>
              </w:rPr>
              <w:t>，</w:t>
            </w:r>
            <w:r>
              <w:rPr>
                <w:color w:val="auto"/>
                <w:szCs w:val="21"/>
              </w:rPr>
              <w:t>手动可调；</w:t>
            </w:r>
          </w:p>
          <w:p>
            <w:pPr>
              <w:tabs>
                <w:tab w:val="left" w:pos="253"/>
              </w:tabs>
              <w:wordWrap w:val="0"/>
              <w:adjustRightInd w:val="0"/>
              <w:snapToGrid w:val="0"/>
              <w:jc w:val="left"/>
              <w:outlineLvl w:val="0"/>
              <w:rPr>
                <w:color w:val="auto"/>
                <w:szCs w:val="21"/>
              </w:rPr>
            </w:pPr>
            <w:r>
              <w:rPr>
                <w:color w:val="auto"/>
                <w:szCs w:val="21"/>
              </w:rPr>
              <w:t>4.码流平滑设置</w:t>
            </w:r>
            <w:r>
              <w:rPr>
                <w:rFonts w:hint="eastAsia"/>
                <w:color w:val="auto"/>
                <w:szCs w:val="21"/>
              </w:rPr>
              <w:t>，</w:t>
            </w:r>
            <w:r>
              <w:rPr>
                <w:color w:val="auto"/>
                <w:szCs w:val="21"/>
              </w:rPr>
              <w:t>适应不同场景下对图像质量、流畅性的不同要求；</w:t>
            </w:r>
          </w:p>
          <w:p>
            <w:pPr>
              <w:tabs>
                <w:tab w:val="left" w:pos="253"/>
              </w:tabs>
              <w:wordWrap w:val="0"/>
              <w:adjustRightInd w:val="0"/>
              <w:snapToGrid w:val="0"/>
              <w:jc w:val="left"/>
              <w:outlineLvl w:val="0"/>
              <w:rPr>
                <w:color w:val="auto"/>
                <w:szCs w:val="21"/>
              </w:rPr>
            </w:pPr>
            <w:r>
              <w:rPr>
                <w:rFonts w:hint="eastAsia" w:ascii="宋体" w:hAnsi="宋体" w:cs="宋体"/>
                <w:b/>
                <w:color w:val="auto"/>
                <w:sz w:val="24"/>
                <w:szCs w:val="21"/>
              </w:rPr>
              <w:t>＃</w:t>
            </w:r>
            <w:r>
              <w:rPr>
                <w:color w:val="auto"/>
                <w:szCs w:val="21"/>
              </w:rPr>
              <w:t>5.最低照度：彩色≤0.0211LX，黑白≤0.0111x</w:t>
            </w:r>
            <w:r>
              <w:rPr>
                <w:rFonts w:hint="eastAsia"/>
                <w:color w:val="auto"/>
                <w:szCs w:val="21"/>
              </w:rPr>
              <w:t>能分辨反射式视频分辨率测试卡中圆形轮廓</w:t>
            </w:r>
            <w:r>
              <w:rPr>
                <w:color w:val="auto"/>
                <w:szCs w:val="21"/>
              </w:rPr>
              <w:t>，</w:t>
            </w:r>
            <w:r>
              <w:rPr>
                <w:rFonts w:hint="eastAsia"/>
                <w:color w:val="auto"/>
                <w:szCs w:val="21"/>
              </w:rPr>
              <w:t>具有国家认定或国际认证的第三方检测机构出具的检测报告（提供复印件加盖供应商公章）</w:t>
            </w:r>
            <w:r>
              <w:rPr>
                <w:color w:val="auto"/>
                <w:szCs w:val="21"/>
              </w:rPr>
              <w:t>；</w:t>
            </w:r>
          </w:p>
          <w:p>
            <w:pPr>
              <w:tabs>
                <w:tab w:val="left" w:pos="253"/>
              </w:tabs>
              <w:wordWrap w:val="0"/>
              <w:adjustRightInd w:val="0"/>
              <w:snapToGrid w:val="0"/>
              <w:jc w:val="left"/>
              <w:outlineLvl w:val="0"/>
              <w:rPr>
                <w:color w:val="auto"/>
                <w:szCs w:val="21"/>
              </w:rPr>
            </w:pPr>
            <w:r>
              <w:rPr>
                <w:color w:val="auto"/>
                <w:szCs w:val="21"/>
              </w:rPr>
              <w:t>6.支持旋转模式</w:t>
            </w:r>
            <w:r>
              <w:rPr>
                <w:rFonts w:hint="eastAsia"/>
                <w:color w:val="auto"/>
                <w:szCs w:val="21"/>
              </w:rPr>
              <w:t>，</w:t>
            </w:r>
            <w:r>
              <w:rPr>
                <w:color w:val="auto"/>
                <w:szCs w:val="21"/>
              </w:rPr>
              <w:t>背光补偿</w:t>
            </w:r>
            <w:r>
              <w:rPr>
                <w:rFonts w:hint="eastAsia"/>
                <w:color w:val="auto"/>
                <w:szCs w:val="21"/>
              </w:rPr>
              <w:t>，</w:t>
            </w:r>
            <w:r>
              <w:rPr>
                <w:color w:val="auto"/>
                <w:szCs w:val="21"/>
              </w:rPr>
              <w:t>自动电子快门功能</w:t>
            </w:r>
            <w:r>
              <w:rPr>
                <w:rFonts w:hint="eastAsia"/>
                <w:color w:val="auto"/>
                <w:szCs w:val="21"/>
              </w:rPr>
              <w:t>，</w:t>
            </w:r>
            <w:r>
              <w:rPr>
                <w:color w:val="auto"/>
                <w:szCs w:val="21"/>
              </w:rPr>
              <w:t>适应不同监控环境；</w:t>
            </w:r>
          </w:p>
          <w:p>
            <w:pPr>
              <w:tabs>
                <w:tab w:val="left" w:pos="253"/>
              </w:tabs>
              <w:wordWrap w:val="0"/>
              <w:adjustRightInd w:val="0"/>
              <w:snapToGrid w:val="0"/>
              <w:jc w:val="left"/>
              <w:outlineLvl w:val="0"/>
              <w:rPr>
                <w:color w:val="auto"/>
                <w:szCs w:val="21"/>
              </w:rPr>
            </w:pPr>
            <w:r>
              <w:rPr>
                <w:rFonts w:hint="eastAsia" w:eastAsia="黑体"/>
                <w:b/>
                <w:color w:val="auto"/>
                <w:sz w:val="24"/>
                <w:szCs w:val="21"/>
              </w:rPr>
              <w:t>＃</w:t>
            </w:r>
            <w:r>
              <w:rPr>
                <w:color w:val="auto"/>
                <w:szCs w:val="21"/>
              </w:rPr>
              <w:t>7.支持《国家教育考试网上巡查系统视频标准技术规范（2017版）》：PS（系统流）和S（传输流）的封装要求，</w:t>
            </w:r>
            <w:r>
              <w:rPr>
                <w:rFonts w:hint="eastAsia"/>
                <w:color w:val="auto"/>
                <w:szCs w:val="21"/>
              </w:rPr>
              <w:t>具有国家认定或国际认证的第三方检测机构出具的检测报告（提供复印件加盖供应商公章）</w:t>
            </w:r>
            <w:r>
              <w:rPr>
                <w:color w:val="auto"/>
                <w:szCs w:val="21"/>
              </w:rPr>
              <w:t>；</w:t>
            </w:r>
          </w:p>
          <w:p>
            <w:pPr>
              <w:tabs>
                <w:tab w:val="left" w:pos="253"/>
              </w:tabs>
              <w:wordWrap w:val="0"/>
              <w:adjustRightInd w:val="0"/>
              <w:snapToGrid w:val="0"/>
              <w:jc w:val="left"/>
              <w:outlineLvl w:val="0"/>
              <w:rPr>
                <w:color w:val="auto"/>
                <w:szCs w:val="21"/>
              </w:rPr>
            </w:pPr>
            <w:r>
              <w:rPr>
                <w:color w:val="auto"/>
                <w:szCs w:val="21"/>
              </w:rPr>
              <w:t>8.采用高效红外灯</w:t>
            </w:r>
            <w:r>
              <w:rPr>
                <w:rFonts w:hint="eastAsia"/>
                <w:color w:val="auto"/>
                <w:szCs w:val="21"/>
              </w:rPr>
              <w:t>，</w:t>
            </w:r>
            <w:r>
              <w:rPr>
                <w:color w:val="auto"/>
                <w:szCs w:val="21"/>
              </w:rPr>
              <w:t>使用寿命长</w:t>
            </w:r>
            <w:r>
              <w:rPr>
                <w:rFonts w:hint="eastAsia"/>
                <w:color w:val="auto"/>
                <w:szCs w:val="21"/>
              </w:rPr>
              <w:t>，</w:t>
            </w:r>
            <w:r>
              <w:rPr>
                <w:color w:val="auto"/>
                <w:szCs w:val="21"/>
              </w:rPr>
              <w:t>照射距离可达30米；</w:t>
            </w:r>
          </w:p>
          <w:p>
            <w:pPr>
              <w:tabs>
                <w:tab w:val="left" w:pos="253"/>
              </w:tabs>
              <w:wordWrap w:val="0"/>
              <w:adjustRightInd w:val="0"/>
              <w:snapToGrid w:val="0"/>
              <w:jc w:val="left"/>
              <w:outlineLvl w:val="0"/>
              <w:rPr>
                <w:color w:val="auto"/>
                <w:szCs w:val="21"/>
                <w:highlight w:val="green"/>
              </w:rPr>
            </w:pPr>
            <w:r>
              <w:rPr>
                <w:color w:val="auto"/>
                <w:szCs w:val="21"/>
              </w:rPr>
              <w:t>9.支持Smart IR</w:t>
            </w:r>
            <w:r>
              <w:rPr>
                <w:rFonts w:hint="eastAsia"/>
                <w:color w:val="auto"/>
                <w:szCs w:val="21"/>
              </w:rPr>
              <w:t>，</w:t>
            </w:r>
            <w:r>
              <w:rPr>
                <w:color w:val="auto"/>
                <w:szCs w:val="21"/>
              </w:rPr>
              <w:t>防止夜间红外过曝；</w:t>
            </w:r>
          </w:p>
          <w:p>
            <w:pPr>
              <w:tabs>
                <w:tab w:val="left" w:pos="253"/>
              </w:tabs>
              <w:wordWrap w:val="0"/>
              <w:adjustRightInd w:val="0"/>
              <w:snapToGrid w:val="0"/>
              <w:jc w:val="left"/>
              <w:outlineLvl w:val="0"/>
              <w:rPr>
                <w:color w:val="auto"/>
                <w:szCs w:val="21"/>
              </w:rPr>
            </w:pPr>
            <w:r>
              <w:rPr>
                <w:color w:val="auto"/>
                <w:szCs w:val="21"/>
              </w:rPr>
              <w:t>10.ICR红外滤片式自动切换</w:t>
            </w:r>
            <w:r>
              <w:rPr>
                <w:rFonts w:hint="eastAsia"/>
                <w:color w:val="auto"/>
                <w:szCs w:val="21"/>
              </w:rPr>
              <w:t>，</w:t>
            </w:r>
            <w:r>
              <w:rPr>
                <w:color w:val="auto"/>
                <w:szCs w:val="21"/>
              </w:rPr>
              <w:t>实现真正的日夜监控；</w:t>
            </w:r>
          </w:p>
          <w:p>
            <w:pPr>
              <w:tabs>
                <w:tab w:val="left" w:pos="253"/>
              </w:tabs>
              <w:wordWrap w:val="0"/>
              <w:adjustRightInd w:val="0"/>
              <w:snapToGrid w:val="0"/>
              <w:jc w:val="left"/>
              <w:outlineLvl w:val="0"/>
              <w:rPr>
                <w:color w:val="auto"/>
                <w:szCs w:val="21"/>
              </w:rPr>
            </w:pPr>
            <w:r>
              <w:rPr>
                <w:color w:val="auto"/>
                <w:szCs w:val="21"/>
              </w:rPr>
              <w:t>11.支持日夜两套参数独立配置；</w:t>
            </w:r>
          </w:p>
          <w:p>
            <w:pPr>
              <w:tabs>
                <w:tab w:val="left" w:pos="253"/>
              </w:tabs>
              <w:wordWrap w:val="0"/>
              <w:adjustRightInd w:val="0"/>
              <w:snapToGrid w:val="0"/>
              <w:jc w:val="left"/>
              <w:outlineLvl w:val="0"/>
              <w:rPr>
                <w:color w:val="auto"/>
                <w:szCs w:val="21"/>
                <w:highlight w:val="green"/>
              </w:rPr>
            </w:pPr>
            <w:r>
              <w:rPr>
                <w:rFonts w:hint="eastAsia" w:eastAsia="黑体"/>
                <w:b/>
                <w:color w:val="auto"/>
                <w:sz w:val="24"/>
                <w:szCs w:val="21"/>
              </w:rPr>
              <w:t>＃</w:t>
            </w:r>
            <w:r>
              <w:rPr>
                <w:color w:val="auto"/>
                <w:szCs w:val="21"/>
              </w:rPr>
              <w:t>12.符合IP67级外壳防护等级且符合IK10外壳防暴等级，</w:t>
            </w:r>
            <w:r>
              <w:rPr>
                <w:rFonts w:hint="eastAsia"/>
                <w:color w:val="auto"/>
                <w:szCs w:val="21"/>
              </w:rPr>
              <w:t>具有国家认定或国际认证的第三方检测机构出具的检测报告（提供复印件加盖供应商公章）</w:t>
            </w:r>
            <w:r>
              <w:rPr>
                <w:color w:val="auto"/>
                <w:szCs w:val="21"/>
              </w:rPr>
              <w:t>；</w:t>
            </w:r>
          </w:p>
          <w:p>
            <w:pPr>
              <w:tabs>
                <w:tab w:val="left" w:pos="253"/>
              </w:tabs>
              <w:wordWrap w:val="0"/>
              <w:adjustRightInd w:val="0"/>
              <w:snapToGrid w:val="0"/>
              <w:jc w:val="left"/>
              <w:outlineLvl w:val="0"/>
              <w:rPr>
                <w:color w:val="auto"/>
                <w:szCs w:val="21"/>
              </w:rPr>
            </w:pPr>
            <w:r>
              <w:rPr>
                <w:color w:val="auto"/>
                <w:szCs w:val="21"/>
              </w:rPr>
              <w:t>13.支持三轴调节</w:t>
            </w:r>
            <w:r>
              <w:rPr>
                <w:rFonts w:hint="eastAsia"/>
                <w:color w:val="auto"/>
                <w:szCs w:val="21"/>
              </w:rPr>
              <w:t>，</w:t>
            </w:r>
            <w:r>
              <w:rPr>
                <w:color w:val="auto"/>
                <w:szCs w:val="21"/>
              </w:rPr>
              <w:t>方便安装；</w:t>
            </w:r>
          </w:p>
          <w:p>
            <w:pPr>
              <w:tabs>
                <w:tab w:val="left" w:pos="253"/>
              </w:tabs>
              <w:wordWrap w:val="0"/>
              <w:adjustRightInd w:val="0"/>
              <w:snapToGrid w:val="0"/>
              <w:jc w:val="left"/>
              <w:outlineLvl w:val="0"/>
              <w:rPr>
                <w:color w:val="auto"/>
                <w:szCs w:val="21"/>
              </w:rPr>
            </w:pPr>
            <w:r>
              <w:rPr>
                <w:color w:val="auto"/>
                <w:szCs w:val="21"/>
              </w:rPr>
              <w:t>14.功能齐全:心跳</w:t>
            </w:r>
            <w:r>
              <w:rPr>
                <w:rFonts w:hint="eastAsia"/>
                <w:color w:val="auto"/>
                <w:szCs w:val="21"/>
              </w:rPr>
              <w:t>，</w:t>
            </w:r>
            <w:r>
              <w:rPr>
                <w:color w:val="auto"/>
                <w:szCs w:val="21"/>
              </w:rPr>
              <w:t>镜像</w:t>
            </w:r>
            <w:r>
              <w:rPr>
                <w:rFonts w:hint="eastAsia"/>
                <w:color w:val="auto"/>
                <w:szCs w:val="21"/>
              </w:rPr>
              <w:t>，</w:t>
            </w:r>
            <w:r>
              <w:rPr>
                <w:color w:val="auto"/>
                <w:szCs w:val="21"/>
              </w:rPr>
              <w:t>一键恢复等；</w:t>
            </w:r>
          </w:p>
          <w:p>
            <w:pPr>
              <w:tabs>
                <w:tab w:val="left" w:pos="253"/>
              </w:tabs>
              <w:wordWrap w:val="0"/>
              <w:adjustRightInd w:val="0"/>
              <w:snapToGrid w:val="0"/>
              <w:jc w:val="left"/>
              <w:outlineLvl w:val="0"/>
              <w:rPr>
                <w:color w:val="auto"/>
                <w:szCs w:val="21"/>
              </w:rPr>
            </w:pPr>
            <w:r>
              <w:rPr>
                <w:color w:val="auto"/>
                <w:szCs w:val="21"/>
              </w:rPr>
              <w:t>15.支持Micro SD/SDHC/SDXC卡(128G)本地存储；</w:t>
            </w:r>
          </w:p>
          <w:p>
            <w:pPr>
              <w:tabs>
                <w:tab w:val="left" w:pos="253"/>
              </w:tabs>
              <w:wordWrap w:val="0"/>
              <w:adjustRightInd w:val="0"/>
              <w:snapToGrid w:val="0"/>
              <w:jc w:val="left"/>
              <w:outlineLvl w:val="0"/>
              <w:rPr>
                <w:color w:val="auto"/>
                <w:szCs w:val="21"/>
              </w:rPr>
            </w:pPr>
            <w:r>
              <w:rPr>
                <w:color w:val="auto"/>
                <w:szCs w:val="21"/>
              </w:rPr>
              <w:t>16.支持Email、FTP、NTP服务器测试；</w:t>
            </w:r>
          </w:p>
          <w:p>
            <w:pPr>
              <w:tabs>
                <w:tab w:val="left" w:pos="253"/>
              </w:tabs>
              <w:wordWrap w:val="0"/>
              <w:adjustRightInd w:val="0"/>
              <w:snapToGrid w:val="0"/>
              <w:jc w:val="left"/>
              <w:outlineLvl w:val="0"/>
              <w:rPr>
                <w:color w:val="auto"/>
                <w:szCs w:val="21"/>
              </w:rPr>
            </w:pPr>
            <w:r>
              <w:rPr>
                <w:color w:val="auto"/>
                <w:szCs w:val="21"/>
              </w:rPr>
              <w:t>17.支持HTTPS等安全认证</w:t>
            </w:r>
            <w:r>
              <w:rPr>
                <w:rFonts w:hint="eastAsia"/>
                <w:color w:val="auto"/>
                <w:szCs w:val="21"/>
              </w:rPr>
              <w:t>，</w:t>
            </w:r>
            <w:r>
              <w:rPr>
                <w:color w:val="auto"/>
                <w:szCs w:val="21"/>
              </w:rPr>
              <w:t>支持创建证书；</w:t>
            </w:r>
          </w:p>
          <w:p>
            <w:pPr>
              <w:tabs>
                <w:tab w:val="left" w:pos="253"/>
              </w:tabs>
              <w:wordWrap w:val="0"/>
              <w:adjustRightInd w:val="0"/>
              <w:snapToGrid w:val="0"/>
              <w:jc w:val="left"/>
              <w:outlineLvl w:val="0"/>
              <w:rPr>
                <w:color w:val="auto"/>
                <w:szCs w:val="21"/>
              </w:rPr>
            </w:pPr>
            <w:r>
              <w:rPr>
                <w:color w:val="auto"/>
                <w:szCs w:val="21"/>
              </w:rPr>
              <w:t>18.初始设备开机修改密码</w:t>
            </w:r>
            <w:r>
              <w:rPr>
                <w:rFonts w:hint="eastAsia"/>
                <w:color w:val="auto"/>
                <w:szCs w:val="21"/>
              </w:rPr>
              <w:t>，</w:t>
            </w:r>
            <w:r>
              <w:rPr>
                <w:color w:val="auto"/>
                <w:szCs w:val="21"/>
              </w:rPr>
              <w:t>保障密码安全；</w:t>
            </w:r>
          </w:p>
          <w:p>
            <w:pPr>
              <w:tabs>
                <w:tab w:val="left" w:pos="253"/>
              </w:tabs>
              <w:wordWrap w:val="0"/>
              <w:adjustRightInd w:val="0"/>
              <w:snapToGrid w:val="0"/>
              <w:jc w:val="left"/>
              <w:outlineLvl w:val="0"/>
              <w:rPr>
                <w:color w:val="auto"/>
                <w:szCs w:val="21"/>
              </w:rPr>
            </w:pPr>
            <w:r>
              <w:rPr>
                <w:color w:val="auto"/>
                <w:szCs w:val="21"/>
              </w:rPr>
              <w:t>19.支持用户登录锁定机制</w:t>
            </w:r>
            <w:r>
              <w:rPr>
                <w:rFonts w:hint="eastAsia"/>
                <w:color w:val="auto"/>
                <w:szCs w:val="21"/>
              </w:rPr>
              <w:t>，</w:t>
            </w:r>
            <w:r>
              <w:rPr>
                <w:color w:val="auto"/>
                <w:szCs w:val="21"/>
              </w:rPr>
              <w:t>及密码复杂度提示；</w:t>
            </w:r>
          </w:p>
          <w:p>
            <w:pPr>
              <w:tabs>
                <w:tab w:val="left" w:pos="253"/>
              </w:tabs>
              <w:wordWrap w:val="0"/>
              <w:adjustRightInd w:val="0"/>
              <w:snapToGrid w:val="0"/>
              <w:jc w:val="left"/>
              <w:outlineLvl w:val="0"/>
              <w:rPr>
                <w:color w:val="auto"/>
                <w:szCs w:val="21"/>
              </w:rPr>
            </w:pPr>
            <w:r>
              <w:rPr>
                <w:color w:val="auto"/>
                <w:szCs w:val="21"/>
              </w:rPr>
              <w:t>20.支持智能编码功能，同一静止场景相同图像质量下，设备在H.264或H.265编码方式时，开启智能编码功能和不开启智能编码相比</w:t>
            </w:r>
            <w:r>
              <w:rPr>
                <w:rFonts w:hint="eastAsia"/>
                <w:color w:val="auto"/>
                <w:szCs w:val="21"/>
              </w:rPr>
              <w:t>，</w:t>
            </w:r>
            <w:r>
              <w:rPr>
                <w:color w:val="auto"/>
                <w:szCs w:val="21"/>
              </w:rPr>
              <w:t>码率节约1/3；</w:t>
            </w:r>
          </w:p>
          <w:p>
            <w:pPr>
              <w:tabs>
                <w:tab w:val="left" w:pos="253"/>
              </w:tabs>
              <w:wordWrap w:val="0"/>
              <w:adjustRightInd w:val="0"/>
              <w:snapToGrid w:val="0"/>
              <w:jc w:val="left"/>
              <w:outlineLvl w:val="0"/>
              <w:rPr>
                <w:color w:val="auto"/>
                <w:szCs w:val="21"/>
              </w:rPr>
            </w:pPr>
            <w:r>
              <w:rPr>
                <w:color w:val="auto"/>
                <w:szCs w:val="21"/>
              </w:rPr>
              <w:t>21.具有10/100M自适应RJ45网络接口、≥1个BNC接口、≥1个音频输入接口、≥1路音频输出接口、≥3路报警输入接口、≥3路报警输出接口、支持SD卡槽。</w:t>
            </w:r>
          </w:p>
          <w:p>
            <w:pPr>
              <w:tabs>
                <w:tab w:val="left" w:pos="253"/>
              </w:tabs>
              <w:wordWrap w:val="0"/>
              <w:adjustRightInd w:val="0"/>
              <w:snapToGrid w:val="0"/>
              <w:jc w:val="left"/>
              <w:outlineLvl w:val="0"/>
              <w:rPr>
                <w:bCs/>
                <w:color w:val="auto"/>
                <w:kern w:val="0"/>
                <w:szCs w:val="21"/>
              </w:rPr>
            </w:pPr>
            <w:r>
              <w:rPr>
                <w:rFonts w:hint="eastAsia" w:eastAsia="黑体"/>
                <w:b/>
                <w:color w:val="auto"/>
                <w:sz w:val="24"/>
                <w:szCs w:val="21"/>
              </w:rPr>
              <w:t>＃</w:t>
            </w:r>
            <w:r>
              <w:rPr>
                <w:color w:val="auto"/>
                <w:szCs w:val="21"/>
              </w:rPr>
              <w:t>22.支持在电压±25%，网络丢包率5%范围内范围内，摄像机正常工作，</w:t>
            </w:r>
            <w:r>
              <w:rPr>
                <w:rFonts w:hint="eastAsia"/>
                <w:color w:val="auto"/>
                <w:szCs w:val="21"/>
              </w:rPr>
              <w:t>具有国家认定或国际认证的第三方检测机构出具的检测报告（提供复印件加盖供应商公章）</w:t>
            </w:r>
            <w:r>
              <w:rPr>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widowControl/>
              <w:jc w:val="center"/>
              <w:rPr>
                <w:color w:val="auto"/>
                <w:szCs w:val="21"/>
              </w:rPr>
            </w:pPr>
            <w:r>
              <w:rPr>
                <w:color w:val="auto"/>
                <w:kern w:val="0"/>
                <w:szCs w:val="21"/>
              </w:rPr>
              <w:t>4</w:t>
            </w:r>
          </w:p>
        </w:tc>
        <w:tc>
          <w:tcPr>
            <w:tcW w:w="1134" w:type="dxa"/>
            <w:gridSpan w:val="2"/>
            <w:vAlign w:val="center"/>
          </w:tcPr>
          <w:p>
            <w:pPr>
              <w:widowControl/>
              <w:jc w:val="center"/>
              <w:rPr>
                <w:bCs/>
                <w:color w:val="auto"/>
                <w:kern w:val="0"/>
                <w:szCs w:val="21"/>
              </w:rPr>
            </w:pPr>
            <w:r>
              <w:rPr>
                <w:color w:val="auto"/>
                <w:kern w:val="0"/>
                <w:szCs w:val="21"/>
              </w:rPr>
              <w:t>音频采集器（拾音器）</w:t>
            </w:r>
          </w:p>
        </w:tc>
        <w:tc>
          <w:tcPr>
            <w:tcW w:w="567" w:type="dxa"/>
            <w:vAlign w:val="center"/>
          </w:tcPr>
          <w:p>
            <w:pPr>
              <w:widowControl/>
              <w:jc w:val="center"/>
              <w:rPr>
                <w:bCs/>
                <w:color w:val="auto"/>
                <w:kern w:val="0"/>
                <w:szCs w:val="21"/>
              </w:rPr>
            </w:pPr>
            <w:r>
              <w:rPr>
                <w:color w:val="auto"/>
                <w:kern w:val="0"/>
                <w:szCs w:val="21"/>
              </w:rPr>
              <w:t>128个</w:t>
            </w:r>
          </w:p>
        </w:tc>
        <w:tc>
          <w:tcPr>
            <w:tcW w:w="7512" w:type="dxa"/>
            <w:vAlign w:val="top"/>
          </w:tcPr>
          <w:p>
            <w:pPr>
              <w:rPr>
                <w:bCs/>
                <w:color w:val="auto"/>
                <w:kern w:val="0"/>
                <w:szCs w:val="21"/>
              </w:rPr>
            </w:pPr>
            <w:r>
              <w:rPr>
                <w:rFonts w:hint="eastAsia"/>
                <w:color w:val="auto"/>
              </w:rPr>
              <w:t>1</w:t>
            </w:r>
            <w:r>
              <w:rPr>
                <w:color w:val="auto"/>
                <w:kern w:val="0"/>
                <w:szCs w:val="21"/>
              </w:rPr>
              <w:t>.内部电路由语音优化电路，功率放大电路，最大消除环境噪音，保证输出强度。</w:t>
            </w:r>
            <w:r>
              <w:rPr>
                <w:color w:val="auto"/>
                <w:kern w:val="0"/>
                <w:szCs w:val="21"/>
              </w:rPr>
              <w:br w:type="textWrapping"/>
            </w:r>
            <w:r>
              <w:rPr>
                <w:rFonts w:hint="eastAsia"/>
                <w:color w:val="auto"/>
                <w:kern w:val="0"/>
                <w:szCs w:val="21"/>
              </w:rPr>
              <w:t>2</w:t>
            </w:r>
            <w:r>
              <w:rPr>
                <w:color w:val="auto"/>
                <w:kern w:val="0"/>
                <w:szCs w:val="21"/>
              </w:rPr>
              <w:t>.音频传输距离：≥150米。</w:t>
            </w:r>
            <w:r>
              <w:rPr>
                <w:color w:val="auto"/>
                <w:kern w:val="0"/>
                <w:szCs w:val="21"/>
              </w:rPr>
              <w:br w:type="textWrapping"/>
            </w:r>
            <w:r>
              <w:rPr>
                <w:rFonts w:hint="eastAsia"/>
                <w:color w:val="auto"/>
                <w:kern w:val="0"/>
                <w:szCs w:val="21"/>
              </w:rPr>
              <w:t>3</w:t>
            </w:r>
            <w:r>
              <w:rPr>
                <w:color w:val="auto"/>
                <w:kern w:val="0"/>
                <w:szCs w:val="21"/>
              </w:rPr>
              <w:t>.频率响应：100Hz～10000Hz。</w:t>
            </w:r>
            <w:r>
              <w:rPr>
                <w:color w:val="auto"/>
                <w:kern w:val="0"/>
                <w:szCs w:val="21"/>
              </w:rPr>
              <w:br w:type="textWrapping"/>
            </w:r>
            <w:r>
              <w:rPr>
                <w:rFonts w:hint="eastAsia"/>
                <w:color w:val="auto"/>
                <w:kern w:val="0"/>
                <w:szCs w:val="21"/>
              </w:rPr>
              <w:t>4</w:t>
            </w:r>
            <w:r>
              <w:rPr>
                <w:color w:val="auto"/>
                <w:kern w:val="0"/>
                <w:szCs w:val="21"/>
              </w:rPr>
              <w:t>.灵敏度：－50dB。</w:t>
            </w:r>
            <w:r>
              <w:rPr>
                <w:color w:val="auto"/>
                <w:kern w:val="0"/>
                <w:szCs w:val="21"/>
              </w:rPr>
              <w:br w:type="textWrapping"/>
            </w:r>
            <w:r>
              <w:rPr>
                <w:rFonts w:hint="eastAsia"/>
                <w:color w:val="auto"/>
                <w:kern w:val="0"/>
                <w:szCs w:val="21"/>
              </w:rPr>
              <w:t>5</w:t>
            </w:r>
            <w:r>
              <w:rPr>
                <w:color w:val="auto"/>
                <w:kern w:val="0"/>
                <w:szCs w:val="21"/>
              </w:rPr>
              <w:t>.指向特性：全向性。</w:t>
            </w:r>
            <w:r>
              <w:rPr>
                <w:color w:val="auto"/>
                <w:kern w:val="0"/>
                <w:szCs w:val="21"/>
              </w:rPr>
              <w:br w:type="textWrapping"/>
            </w:r>
            <w:r>
              <w:rPr>
                <w:rFonts w:hint="eastAsia"/>
                <w:color w:val="auto"/>
                <w:kern w:val="0"/>
                <w:szCs w:val="21"/>
              </w:rPr>
              <w:t>6</w:t>
            </w:r>
            <w:r>
              <w:rPr>
                <w:color w:val="auto"/>
                <w:kern w:val="0"/>
                <w:szCs w:val="21"/>
              </w:rPr>
              <w:t>.最大承受音压：120dB SPL（1KHz，THD 1%）。</w:t>
            </w:r>
            <w:r>
              <w:rPr>
                <w:color w:val="auto"/>
                <w:kern w:val="0"/>
                <w:szCs w:val="21"/>
              </w:rPr>
              <w:br w:type="textWrapping"/>
            </w:r>
            <w:r>
              <w:rPr>
                <w:rFonts w:hint="eastAsia"/>
                <w:color w:val="auto"/>
                <w:kern w:val="0"/>
                <w:szCs w:val="21"/>
              </w:rPr>
              <w:t>7</w:t>
            </w:r>
            <w:r>
              <w:rPr>
                <w:color w:val="auto"/>
                <w:kern w:val="0"/>
                <w:szCs w:val="21"/>
              </w:rPr>
              <w:t>.输出阻抗：800～1000欧姆非平衡。</w:t>
            </w:r>
            <w:r>
              <w:rPr>
                <w:color w:val="auto"/>
                <w:kern w:val="0"/>
                <w:szCs w:val="21"/>
              </w:rPr>
              <w:br w:type="textWrapping"/>
            </w:r>
            <w:r>
              <w:rPr>
                <w:rFonts w:hint="eastAsia"/>
                <w:color w:val="auto"/>
                <w:kern w:val="0"/>
                <w:szCs w:val="21"/>
              </w:rPr>
              <w:t>8</w:t>
            </w:r>
            <w:r>
              <w:rPr>
                <w:color w:val="auto"/>
                <w:kern w:val="0"/>
                <w:szCs w:val="21"/>
              </w:rPr>
              <w:t>.输出信号幅度：2.5Vpp/-25db。</w:t>
            </w:r>
            <w:r>
              <w:rPr>
                <w:color w:val="auto"/>
                <w:kern w:val="0"/>
                <w:szCs w:val="21"/>
              </w:rPr>
              <w:br w:type="textWrapping"/>
            </w:r>
            <w:r>
              <w:rPr>
                <w:rFonts w:hint="eastAsia"/>
                <w:color w:val="auto"/>
                <w:kern w:val="0"/>
                <w:szCs w:val="21"/>
              </w:rPr>
              <w:t>9</w:t>
            </w:r>
            <w:r>
              <w:rPr>
                <w:color w:val="auto"/>
                <w:kern w:val="0"/>
                <w:szCs w:val="21"/>
              </w:rPr>
              <w:t>.麦克风：电容咪头。</w:t>
            </w:r>
            <w:r>
              <w:rPr>
                <w:color w:val="auto"/>
                <w:kern w:val="0"/>
                <w:szCs w:val="21"/>
              </w:rPr>
              <w:br w:type="textWrapping"/>
            </w:r>
            <w:r>
              <w:rPr>
                <w:color w:val="auto"/>
                <w:kern w:val="0"/>
                <w:szCs w:val="21"/>
              </w:rPr>
              <w:t>1</w:t>
            </w:r>
            <w:r>
              <w:rPr>
                <w:rFonts w:hint="eastAsia"/>
                <w:color w:val="auto"/>
                <w:kern w:val="0"/>
                <w:szCs w:val="21"/>
              </w:rPr>
              <w:t>0</w:t>
            </w:r>
            <w:r>
              <w:rPr>
                <w:color w:val="auto"/>
                <w:kern w:val="0"/>
                <w:szCs w:val="21"/>
              </w:rPr>
              <w:t>.电源电压：直流稳压DC4V～14V。</w:t>
            </w:r>
            <w:r>
              <w:rPr>
                <w:color w:val="auto"/>
                <w:kern w:val="0"/>
                <w:szCs w:val="21"/>
              </w:rPr>
              <w:br w:type="textWrapping"/>
            </w:r>
            <w:r>
              <w:rPr>
                <w:color w:val="auto"/>
                <w:kern w:val="0"/>
                <w:szCs w:val="21"/>
              </w:rPr>
              <w:t>1</w:t>
            </w:r>
            <w:r>
              <w:rPr>
                <w:rFonts w:hint="eastAsia"/>
                <w:color w:val="auto"/>
                <w:kern w:val="0"/>
                <w:szCs w:val="21"/>
              </w:rPr>
              <w:t>1</w:t>
            </w:r>
            <w:r>
              <w:rPr>
                <w:color w:val="auto"/>
                <w:kern w:val="0"/>
                <w:szCs w:val="21"/>
              </w:rPr>
              <w:t>.电源电流：15mA 。</w:t>
            </w:r>
            <w:r>
              <w:rPr>
                <w:color w:val="auto"/>
                <w:kern w:val="0"/>
                <w:szCs w:val="21"/>
              </w:rPr>
              <w:br w:type="textWrapping"/>
            </w:r>
            <w:r>
              <w:rPr>
                <w:color w:val="auto"/>
                <w:kern w:val="0"/>
                <w:szCs w:val="21"/>
              </w:rPr>
              <w:t>1</w:t>
            </w:r>
            <w:r>
              <w:rPr>
                <w:rFonts w:hint="eastAsia"/>
                <w:color w:val="auto"/>
                <w:kern w:val="0"/>
                <w:szCs w:val="21"/>
              </w:rPr>
              <w:t>2</w:t>
            </w:r>
            <w:r>
              <w:rPr>
                <w:color w:val="auto"/>
                <w:kern w:val="0"/>
                <w:szCs w:val="21"/>
              </w:rPr>
              <w:t>.环境温度：－25℃～50℃。</w:t>
            </w:r>
            <w:r>
              <w:rPr>
                <w:color w:val="auto"/>
                <w:kern w:val="0"/>
                <w:szCs w:val="21"/>
              </w:rPr>
              <w:br w:type="textWrapping"/>
            </w:r>
            <w:r>
              <w:rPr>
                <w:color w:val="auto"/>
                <w:kern w:val="0"/>
                <w:szCs w:val="21"/>
              </w:rPr>
              <w:t>1</w:t>
            </w:r>
            <w:r>
              <w:rPr>
                <w:rFonts w:hint="eastAsia"/>
                <w:color w:val="auto"/>
                <w:kern w:val="0"/>
                <w:szCs w:val="21"/>
              </w:rPr>
              <w:t>3</w:t>
            </w:r>
            <w:r>
              <w:rPr>
                <w:color w:val="auto"/>
                <w:kern w:val="0"/>
                <w:szCs w:val="21"/>
              </w:rPr>
              <w:t>.颜色：白色。</w:t>
            </w:r>
            <w:r>
              <w:rPr>
                <w:color w:val="auto"/>
                <w:kern w:val="0"/>
                <w:szCs w:val="21"/>
              </w:rPr>
              <w:br w:type="textWrapping"/>
            </w:r>
            <w:r>
              <w:rPr>
                <w:color w:val="auto"/>
                <w:kern w:val="0"/>
                <w:szCs w:val="21"/>
              </w:rPr>
              <w:t>1</w:t>
            </w:r>
            <w:r>
              <w:rPr>
                <w:rFonts w:hint="eastAsia"/>
                <w:color w:val="auto"/>
                <w:kern w:val="0"/>
                <w:szCs w:val="21"/>
              </w:rPr>
              <w:t>4</w:t>
            </w:r>
            <w:r>
              <w:rPr>
                <w:color w:val="auto"/>
                <w:kern w:val="0"/>
                <w:szCs w:val="21"/>
              </w:rPr>
              <w:t>.外壳材质：PVC。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widowControl/>
              <w:jc w:val="center"/>
              <w:rPr>
                <w:color w:val="auto"/>
                <w:szCs w:val="21"/>
              </w:rPr>
            </w:pPr>
            <w:r>
              <w:rPr>
                <w:color w:val="auto"/>
                <w:kern w:val="0"/>
                <w:szCs w:val="21"/>
              </w:rPr>
              <w:t>5</w:t>
            </w:r>
          </w:p>
        </w:tc>
        <w:tc>
          <w:tcPr>
            <w:tcW w:w="1134" w:type="dxa"/>
            <w:gridSpan w:val="2"/>
            <w:vAlign w:val="center"/>
          </w:tcPr>
          <w:p>
            <w:pPr>
              <w:widowControl/>
              <w:jc w:val="center"/>
              <w:rPr>
                <w:color w:val="auto"/>
                <w:kern w:val="0"/>
                <w:szCs w:val="21"/>
              </w:rPr>
            </w:pPr>
            <w:r>
              <w:rPr>
                <w:color w:val="auto"/>
                <w:kern w:val="0"/>
                <w:szCs w:val="21"/>
              </w:rPr>
              <w:t>电源</w:t>
            </w:r>
          </w:p>
          <w:p>
            <w:pPr>
              <w:widowControl/>
              <w:jc w:val="center"/>
              <w:rPr>
                <w:bCs/>
                <w:color w:val="auto"/>
                <w:kern w:val="0"/>
                <w:szCs w:val="21"/>
              </w:rPr>
            </w:pPr>
            <w:r>
              <w:rPr>
                <w:color w:val="auto"/>
                <w:kern w:val="0"/>
                <w:szCs w:val="21"/>
              </w:rPr>
              <w:t>适配器</w:t>
            </w:r>
          </w:p>
        </w:tc>
        <w:tc>
          <w:tcPr>
            <w:tcW w:w="567" w:type="dxa"/>
            <w:vAlign w:val="center"/>
          </w:tcPr>
          <w:p>
            <w:pPr>
              <w:jc w:val="center"/>
              <w:rPr>
                <w:bCs/>
                <w:color w:val="auto"/>
                <w:kern w:val="0"/>
                <w:szCs w:val="21"/>
              </w:rPr>
            </w:pPr>
            <w:r>
              <w:rPr>
                <w:color w:val="auto"/>
                <w:szCs w:val="21"/>
              </w:rPr>
              <w:t>128块</w:t>
            </w:r>
          </w:p>
        </w:tc>
        <w:tc>
          <w:tcPr>
            <w:tcW w:w="7512" w:type="dxa"/>
            <w:vAlign w:val="center"/>
          </w:tcPr>
          <w:p>
            <w:pPr>
              <w:widowControl/>
              <w:jc w:val="left"/>
              <w:rPr>
                <w:bCs/>
                <w:color w:val="auto"/>
                <w:kern w:val="0"/>
                <w:szCs w:val="21"/>
              </w:rPr>
            </w:pPr>
            <w:r>
              <w:rPr>
                <w:color w:val="auto"/>
                <w:kern w:val="0"/>
                <w:szCs w:val="21"/>
              </w:rPr>
              <w:t>12V，4A监控专用电源。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6</w:t>
            </w:r>
          </w:p>
        </w:tc>
        <w:tc>
          <w:tcPr>
            <w:tcW w:w="1134" w:type="dxa"/>
            <w:gridSpan w:val="2"/>
            <w:vAlign w:val="center"/>
          </w:tcPr>
          <w:p>
            <w:pPr>
              <w:widowControl/>
              <w:jc w:val="center"/>
              <w:rPr>
                <w:bCs/>
                <w:color w:val="auto"/>
                <w:kern w:val="0"/>
                <w:szCs w:val="21"/>
              </w:rPr>
            </w:pPr>
            <w:r>
              <w:rPr>
                <w:color w:val="auto"/>
                <w:kern w:val="0"/>
                <w:szCs w:val="21"/>
              </w:rPr>
              <w:t>支架</w:t>
            </w:r>
          </w:p>
        </w:tc>
        <w:tc>
          <w:tcPr>
            <w:tcW w:w="567" w:type="dxa"/>
            <w:vAlign w:val="center"/>
          </w:tcPr>
          <w:p>
            <w:pPr>
              <w:jc w:val="center"/>
              <w:rPr>
                <w:bCs/>
                <w:color w:val="auto"/>
                <w:kern w:val="0"/>
                <w:szCs w:val="21"/>
              </w:rPr>
            </w:pPr>
            <w:r>
              <w:rPr>
                <w:color w:val="auto"/>
                <w:szCs w:val="21"/>
              </w:rPr>
              <w:t>128套</w:t>
            </w:r>
          </w:p>
        </w:tc>
        <w:tc>
          <w:tcPr>
            <w:tcW w:w="7512" w:type="dxa"/>
            <w:vAlign w:val="center"/>
          </w:tcPr>
          <w:p>
            <w:pPr>
              <w:widowControl/>
              <w:jc w:val="left"/>
              <w:rPr>
                <w:bCs/>
                <w:color w:val="auto"/>
                <w:kern w:val="0"/>
                <w:szCs w:val="21"/>
              </w:rPr>
            </w:pPr>
            <w:r>
              <w:rPr>
                <w:color w:val="auto"/>
                <w:kern w:val="0"/>
                <w:szCs w:val="21"/>
              </w:rPr>
              <w:t>定制专用壁装支架。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7</w:t>
            </w:r>
          </w:p>
        </w:tc>
        <w:tc>
          <w:tcPr>
            <w:tcW w:w="1134" w:type="dxa"/>
            <w:gridSpan w:val="2"/>
            <w:vAlign w:val="center"/>
          </w:tcPr>
          <w:p>
            <w:pPr>
              <w:widowControl/>
              <w:jc w:val="center"/>
              <w:rPr>
                <w:bCs/>
                <w:color w:val="auto"/>
                <w:kern w:val="0"/>
                <w:szCs w:val="21"/>
              </w:rPr>
            </w:pPr>
            <w:r>
              <w:rPr>
                <w:color w:val="auto"/>
                <w:kern w:val="0"/>
                <w:szCs w:val="21"/>
              </w:rPr>
              <w:t>配电箱</w:t>
            </w:r>
          </w:p>
        </w:tc>
        <w:tc>
          <w:tcPr>
            <w:tcW w:w="567" w:type="dxa"/>
            <w:vAlign w:val="center"/>
          </w:tcPr>
          <w:p>
            <w:pPr>
              <w:jc w:val="center"/>
              <w:rPr>
                <w:bCs/>
                <w:color w:val="auto"/>
                <w:kern w:val="0"/>
                <w:szCs w:val="21"/>
              </w:rPr>
            </w:pPr>
            <w:r>
              <w:rPr>
                <w:color w:val="auto"/>
                <w:szCs w:val="21"/>
              </w:rPr>
              <w:t>128套</w:t>
            </w:r>
          </w:p>
        </w:tc>
        <w:tc>
          <w:tcPr>
            <w:tcW w:w="7512" w:type="dxa"/>
            <w:vAlign w:val="center"/>
          </w:tcPr>
          <w:p>
            <w:pPr>
              <w:widowControl/>
              <w:jc w:val="left"/>
              <w:rPr>
                <w:bCs/>
                <w:color w:val="auto"/>
                <w:kern w:val="0"/>
                <w:szCs w:val="21"/>
              </w:rPr>
            </w:pPr>
            <w:r>
              <w:rPr>
                <w:color w:val="auto"/>
                <w:kern w:val="0"/>
                <w:szCs w:val="21"/>
              </w:rPr>
              <w:t>定制，用于安放集中电源、接线</w:t>
            </w:r>
            <w:r>
              <w:rPr>
                <w:rFonts w:hint="eastAsia"/>
                <w:color w:val="auto"/>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8</w:t>
            </w:r>
          </w:p>
        </w:tc>
        <w:tc>
          <w:tcPr>
            <w:tcW w:w="1134" w:type="dxa"/>
            <w:gridSpan w:val="2"/>
            <w:vAlign w:val="center"/>
          </w:tcPr>
          <w:p>
            <w:pPr>
              <w:widowControl/>
              <w:jc w:val="center"/>
              <w:rPr>
                <w:bCs/>
                <w:color w:val="auto"/>
                <w:kern w:val="0"/>
                <w:szCs w:val="21"/>
              </w:rPr>
            </w:pPr>
            <w:r>
              <w:rPr>
                <w:color w:val="auto"/>
                <w:kern w:val="0"/>
                <w:szCs w:val="21"/>
              </w:rPr>
              <w:t>标考高清SIP转发管理三合一平台</w:t>
            </w:r>
          </w:p>
        </w:tc>
        <w:tc>
          <w:tcPr>
            <w:tcW w:w="567" w:type="dxa"/>
            <w:vAlign w:val="center"/>
          </w:tcPr>
          <w:p>
            <w:pPr>
              <w:jc w:val="center"/>
              <w:rPr>
                <w:bCs/>
                <w:color w:val="auto"/>
                <w:kern w:val="0"/>
                <w:szCs w:val="21"/>
              </w:rPr>
            </w:pPr>
            <w:r>
              <w:rPr>
                <w:color w:val="auto"/>
                <w:szCs w:val="21"/>
              </w:rPr>
              <w:t>1台</w:t>
            </w:r>
          </w:p>
        </w:tc>
        <w:tc>
          <w:tcPr>
            <w:tcW w:w="7512" w:type="dxa"/>
            <w:vAlign w:val="top"/>
          </w:tcPr>
          <w:p>
            <w:pPr>
              <w:pStyle w:val="50"/>
              <w:tabs>
                <w:tab w:val="left" w:pos="253"/>
              </w:tabs>
              <w:spacing w:after="0" w:line="240" w:lineRule="auto"/>
              <w:jc w:val="left"/>
              <w:rPr>
                <w:color w:val="auto"/>
                <w:sz w:val="21"/>
                <w:szCs w:val="21"/>
              </w:rPr>
            </w:pPr>
            <w:r>
              <w:rPr>
                <w:color w:val="auto"/>
                <w:sz w:val="21"/>
                <w:szCs w:val="21"/>
              </w:rPr>
              <w:t>▲1.符合《国家教育考试网上巡查系统视频标准技术规范（2017版）》规范，</w:t>
            </w:r>
            <w:r>
              <w:rPr>
                <w:rFonts w:hint="eastAsia"/>
                <w:color w:val="auto"/>
                <w:sz w:val="21"/>
                <w:szCs w:val="21"/>
              </w:rPr>
              <w:t>具有国家认定或国际认证的第三方检测机构出具的检测报告（提供复印件加盖供应商公章）</w:t>
            </w:r>
            <w:r>
              <w:rPr>
                <w:color w:val="auto"/>
                <w:sz w:val="21"/>
                <w:szCs w:val="21"/>
              </w:rPr>
              <w:t>；</w:t>
            </w:r>
          </w:p>
          <w:p>
            <w:pPr>
              <w:pStyle w:val="50"/>
              <w:tabs>
                <w:tab w:val="left" w:pos="253"/>
              </w:tabs>
              <w:spacing w:after="0" w:line="240" w:lineRule="auto"/>
              <w:jc w:val="left"/>
              <w:rPr>
                <w:color w:val="auto"/>
                <w:sz w:val="21"/>
                <w:szCs w:val="21"/>
              </w:rPr>
            </w:pPr>
            <w:r>
              <w:rPr>
                <w:color w:val="auto"/>
                <w:sz w:val="21"/>
                <w:szCs w:val="21"/>
              </w:rPr>
              <w:t>2.采用嵌入式设备，实时操作系统；</w:t>
            </w:r>
          </w:p>
          <w:p>
            <w:pPr>
              <w:pStyle w:val="50"/>
              <w:tabs>
                <w:tab w:val="left" w:pos="253"/>
              </w:tabs>
              <w:spacing w:after="0" w:line="240" w:lineRule="auto"/>
              <w:jc w:val="left"/>
              <w:rPr>
                <w:color w:val="auto"/>
                <w:sz w:val="21"/>
                <w:szCs w:val="21"/>
              </w:rPr>
            </w:pPr>
            <w:r>
              <w:rPr>
                <w:color w:val="auto"/>
                <w:sz w:val="21"/>
                <w:szCs w:val="21"/>
              </w:rPr>
              <w:t>3.</w:t>
            </w:r>
            <w:r>
              <w:rPr>
                <w:rFonts w:hint="eastAsia"/>
                <w:color w:val="auto"/>
                <w:sz w:val="21"/>
                <w:szCs w:val="21"/>
              </w:rPr>
              <w:t>支持</w:t>
            </w:r>
            <w:r>
              <w:rPr>
                <w:color w:val="auto"/>
                <w:sz w:val="21"/>
                <w:szCs w:val="21"/>
              </w:rPr>
              <w:t>系统管理员分组，可对平台设置多类管理员，赋予每类管理员不同的管理权限，如添加删除设备、帐号权限，查看权限、设置权限等；</w:t>
            </w:r>
          </w:p>
          <w:p>
            <w:pPr>
              <w:pStyle w:val="50"/>
              <w:tabs>
                <w:tab w:val="left" w:pos="253"/>
              </w:tabs>
              <w:spacing w:after="0" w:line="240" w:lineRule="auto"/>
              <w:jc w:val="left"/>
              <w:rPr>
                <w:color w:val="auto"/>
                <w:sz w:val="21"/>
                <w:szCs w:val="21"/>
              </w:rPr>
            </w:pPr>
            <w:r>
              <w:rPr>
                <w:color w:val="auto"/>
                <w:sz w:val="21"/>
                <w:szCs w:val="21"/>
              </w:rPr>
              <w:t>4.SIP URI组、用户、树形列表管理、SIP URI统一命名规则、分级命名、联合定位；</w:t>
            </w:r>
          </w:p>
          <w:p>
            <w:pPr>
              <w:pStyle w:val="50"/>
              <w:tabs>
                <w:tab w:val="left" w:pos="253"/>
              </w:tabs>
              <w:spacing w:after="0" w:line="240" w:lineRule="auto"/>
              <w:jc w:val="left"/>
              <w:rPr>
                <w:color w:val="auto"/>
                <w:sz w:val="21"/>
                <w:szCs w:val="21"/>
              </w:rPr>
            </w:pPr>
            <w:r>
              <w:rPr>
                <w:color w:val="auto"/>
                <w:sz w:val="21"/>
                <w:szCs w:val="21"/>
              </w:rPr>
              <w:t>5.具备实时追踪SIP连接、认证状态功能，支持反向通道技术；</w:t>
            </w:r>
          </w:p>
          <w:p>
            <w:pPr>
              <w:pStyle w:val="50"/>
              <w:tabs>
                <w:tab w:val="left" w:pos="253"/>
              </w:tabs>
              <w:spacing w:after="0" w:line="240" w:lineRule="auto"/>
              <w:jc w:val="left"/>
              <w:rPr>
                <w:color w:val="auto"/>
                <w:sz w:val="21"/>
                <w:szCs w:val="21"/>
              </w:rPr>
            </w:pPr>
            <w:r>
              <w:rPr>
                <w:color w:val="auto"/>
                <w:sz w:val="21"/>
                <w:szCs w:val="21"/>
              </w:rPr>
              <w:t>6.具备SIP向上级的主动注册与多级注册的管理功能；</w:t>
            </w:r>
          </w:p>
          <w:p>
            <w:pPr>
              <w:pStyle w:val="50"/>
              <w:tabs>
                <w:tab w:val="left" w:pos="253"/>
              </w:tabs>
              <w:spacing w:after="0" w:line="240" w:lineRule="auto"/>
              <w:jc w:val="left"/>
              <w:rPr>
                <w:color w:val="auto"/>
                <w:sz w:val="21"/>
                <w:szCs w:val="21"/>
              </w:rPr>
            </w:pPr>
            <w:r>
              <w:rPr>
                <w:color w:val="auto"/>
                <w:sz w:val="21"/>
                <w:szCs w:val="21"/>
              </w:rPr>
              <w:t>7.SIP终端访问呼叫过程控制；SIP终端远程访问权限控制；</w:t>
            </w:r>
          </w:p>
          <w:p>
            <w:pPr>
              <w:pStyle w:val="50"/>
              <w:tabs>
                <w:tab w:val="left" w:pos="253"/>
              </w:tabs>
              <w:spacing w:after="0" w:line="240" w:lineRule="auto"/>
              <w:jc w:val="left"/>
              <w:rPr>
                <w:color w:val="auto"/>
                <w:sz w:val="21"/>
                <w:szCs w:val="21"/>
              </w:rPr>
            </w:pPr>
            <w:r>
              <w:rPr>
                <w:color w:val="auto"/>
                <w:sz w:val="21"/>
                <w:szCs w:val="21"/>
              </w:rPr>
              <w:t>8.CPU：处理器Intel四核主频3.0GHz同等档次及以上，内存：≥16G/DDR4，支持硬盘热插拔功能，应具有≥2个10M/100M/1000M以太网接口</w:t>
            </w:r>
            <w:r>
              <w:rPr>
                <w:rFonts w:hint="eastAsia"/>
                <w:color w:val="auto"/>
                <w:sz w:val="21"/>
                <w:szCs w:val="21"/>
              </w:rPr>
              <w:t>，</w:t>
            </w:r>
            <w:r>
              <w:rPr>
                <w:color w:val="auto"/>
                <w:sz w:val="21"/>
                <w:szCs w:val="21"/>
              </w:rPr>
              <w:t>≥4个USB接口，≥4个SATA插口；</w:t>
            </w:r>
          </w:p>
          <w:p>
            <w:pPr>
              <w:pStyle w:val="50"/>
              <w:tabs>
                <w:tab w:val="left" w:pos="253"/>
              </w:tabs>
              <w:spacing w:after="0" w:line="240" w:lineRule="auto"/>
              <w:jc w:val="left"/>
              <w:rPr>
                <w:color w:val="auto"/>
                <w:sz w:val="21"/>
                <w:szCs w:val="21"/>
              </w:rPr>
            </w:pPr>
            <w:r>
              <w:rPr>
                <w:color w:val="auto"/>
                <w:sz w:val="21"/>
                <w:szCs w:val="21"/>
              </w:rPr>
              <w:t>9.支持根据网络情况和使用需求，自动调整视频分辨率；</w:t>
            </w:r>
          </w:p>
          <w:p>
            <w:pPr>
              <w:pStyle w:val="50"/>
              <w:tabs>
                <w:tab w:val="left" w:pos="253"/>
              </w:tabs>
              <w:spacing w:after="0" w:line="240" w:lineRule="auto"/>
              <w:jc w:val="left"/>
              <w:rPr>
                <w:color w:val="auto"/>
                <w:sz w:val="21"/>
                <w:szCs w:val="21"/>
              </w:rPr>
            </w:pPr>
            <w:r>
              <w:rPr>
                <w:rFonts w:hint="eastAsia" w:eastAsia="黑体"/>
                <w:b/>
                <w:color w:val="auto"/>
                <w:sz w:val="24"/>
                <w:szCs w:val="21"/>
              </w:rPr>
              <w:t>＃</w:t>
            </w:r>
            <w:r>
              <w:rPr>
                <w:color w:val="auto"/>
                <w:sz w:val="21"/>
                <w:szCs w:val="21"/>
              </w:rPr>
              <w:t>10.支持对前端巡查图像进行筛选，将未设置考场的图像进行屏蔽，不进行上传，只在本地监看查；支持点播、组播、广播，支持视频多路复用，支持媒体流的分发和汇聚</w:t>
            </w:r>
            <w:r>
              <w:rPr>
                <w:rFonts w:hint="eastAsia"/>
                <w:color w:val="auto"/>
                <w:sz w:val="21"/>
                <w:szCs w:val="21"/>
              </w:rPr>
              <w:t>，具有国家认定或国际认证的第三方检测机构出具的检测报告（提供复印件加盖供应商公章）</w:t>
            </w:r>
            <w:r>
              <w:rPr>
                <w:color w:val="auto"/>
                <w:sz w:val="21"/>
                <w:szCs w:val="21"/>
              </w:rPr>
              <w:t>。</w:t>
            </w:r>
          </w:p>
          <w:p>
            <w:pPr>
              <w:pStyle w:val="50"/>
              <w:tabs>
                <w:tab w:val="left" w:pos="253"/>
              </w:tabs>
              <w:spacing w:after="0" w:line="240" w:lineRule="auto"/>
              <w:jc w:val="left"/>
              <w:rPr>
                <w:color w:val="auto"/>
                <w:sz w:val="21"/>
                <w:szCs w:val="21"/>
              </w:rPr>
            </w:pPr>
            <w:r>
              <w:rPr>
                <w:color w:val="auto"/>
                <w:sz w:val="21"/>
                <w:szCs w:val="21"/>
              </w:rPr>
              <w:t>11.音视频流处理包含MPEG-4、H.264、H.265视频编码，MPEG Layer Ⅱ\AAC音频编码，采用PS系统流和TS传输流的封装视频流。</w:t>
            </w:r>
          </w:p>
          <w:p>
            <w:pPr>
              <w:pStyle w:val="50"/>
              <w:tabs>
                <w:tab w:val="left" w:pos="253"/>
              </w:tabs>
              <w:spacing w:after="0" w:line="240" w:lineRule="auto"/>
              <w:jc w:val="left"/>
              <w:rPr>
                <w:color w:val="auto"/>
                <w:sz w:val="21"/>
                <w:szCs w:val="21"/>
              </w:rPr>
            </w:pPr>
            <w:r>
              <w:rPr>
                <w:color w:val="auto"/>
                <w:sz w:val="21"/>
                <w:szCs w:val="21"/>
              </w:rPr>
              <w:t xml:space="preserve">12.支持对巡查系统资产统计、显示，支持系统设备实时状态检测，支持视频图像质量诊断，对所处网络进行测速； </w:t>
            </w:r>
          </w:p>
          <w:p>
            <w:pPr>
              <w:pStyle w:val="50"/>
              <w:tabs>
                <w:tab w:val="left" w:pos="253"/>
              </w:tabs>
              <w:spacing w:after="0" w:line="240" w:lineRule="auto"/>
              <w:jc w:val="left"/>
              <w:rPr>
                <w:color w:val="auto"/>
                <w:sz w:val="21"/>
                <w:szCs w:val="21"/>
              </w:rPr>
            </w:pPr>
            <w:r>
              <w:rPr>
                <w:color w:val="auto"/>
                <w:sz w:val="21"/>
                <w:szCs w:val="21"/>
              </w:rPr>
              <w:t>13.支持对上级平台网络、域名、端口检测及诊断，便于快速调试及故障处理；</w:t>
            </w:r>
          </w:p>
          <w:p>
            <w:pPr>
              <w:pStyle w:val="50"/>
              <w:tabs>
                <w:tab w:val="left" w:pos="253"/>
              </w:tabs>
              <w:spacing w:after="0" w:line="240" w:lineRule="auto"/>
              <w:jc w:val="left"/>
              <w:rPr>
                <w:color w:val="auto"/>
                <w:sz w:val="21"/>
                <w:szCs w:val="21"/>
              </w:rPr>
            </w:pPr>
            <w:r>
              <w:rPr>
                <w:rFonts w:hint="eastAsia" w:eastAsia="黑体"/>
                <w:b/>
                <w:color w:val="auto"/>
                <w:sz w:val="24"/>
                <w:szCs w:val="21"/>
              </w:rPr>
              <w:t>＃</w:t>
            </w:r>
            <w:r>
              <w:rPr>
                <w:color w:val="auto"/>
                <w:sz w:val="21"/>
                <w:szCs w:val="21"/>
              </w:rPr>
              <w:t>14.支持设置判断前端接入设备是否与服务器时间同步，并设置与上级服务器时间同步；支持系统核心数据库的备份和恢复，支持对数据库进行测试，验证数据库配置的正确性及联通状态，</w:t>
            </w:r>
            <w:r>
              <w:rPr>
                <w:rFonts w:hint="eastAsia"/>
                <w:color w:val="auto"/>
                <w:sz w:val="21"/>
                <w:szCs w:val="21"/>
              </w:rPr>
              <w:t>具有国家认定或国际认证的第三方检测机构出具的检测报告（提供复印件加盖供应商公章）</w:t>
            </w:r>
            <w:r>
              <w:rPr>
                <w:color w:val="auto"/>
                <w:sz w:val="21"/>
                <w:szCs w:val="21"/>
              </w:rPr>
              <w:t xml:space="preserve">； </w:t>
            </w:r>
          </w:p>
          <w:p>
            <w:pPr>
              <w:pStyle w:val="50"/>
              <w:tabs>
                <w:tab w:val="left" w:pos="253"/>
              </w:tabs>
              <w:spacing w:after="0" w:line="240" w:lineRule="auto"/>
              <w:jc w:val="left"/>
              <w:rPr>
                <w:color w:val="auto"/>
                <w:sz w:val="21"/>
                <w:szCs w:val="21"/>
              </w:rPr>
            </w:pPr>
            <w:r>
              <w:rPr>
                <w:color w:val="auto"/>
                <w:sz w:val="21"/>
                <w:szCs w:val="21"/>
              </w:rPr>
              <w:t>15.</w:t>
            </w:r>
            <w:r>
              <w:rPr>
                <w:color w:val="auto"/>
              </w:rPr>
              <w:t xml:space="preserve"> </w:t>
            </w:r>
            <w:r>
              <w:rPr>
                <w:color w:val="auto"/>
                <w:sz w:val="21"/>
                <w:szCs w:val="21"/>
              </w:rPr>
              <w:t>支持路由控制功能，视频访问呼叫过程、视频远程访问权限控制功能；</w:t>
            </w:r>
          </w:p>
          <w:p>
            <w:pPr>
              <w:pStyle w:val="50"/>
              <w:tabs>
                <w:tab w:val="left" w:pos="253"/>
              </w:tabs>
              <w:spacing w:after="0" w:line="240" w:lineRule="auto"/>
              <w:jc w:val="left"/>
              <w:rPr>
                <w:color w:val="auto"/>
                <w:sz w:val="21"/>
                <w:szCs w:val="21"/>
              </w:rPr>
            </w:pPr>
            <w:r>
              <w:rPr>
                <w:color w:val="auto"/>
                <w:sz w:val="21"/>
                <w:szCs w:val="21"/>
              </w:rPr>
              <w:t>16.支持配置转发服务模块，支持多级转发级联，并支持多转发分布式部署协同工作；</w:t>
            </w:r>
          </w:p>
          <w:p>
            <w:pPr>
              <w:pStyle w:val="50"/>
              <w:tabs>
                <w:tab w:val="left" w:pos="253"/>
              </w:tabs>
              <w:spacing w:after="0" w:line="240" w:lineRule="auto"/>
              <w:jc w:val="left"/>
              <w:rPr>
                <w:color w:val="auto"/>
                <w:sz w:val="21"/>
                <w:szCs w:val="21"/>
              </w:rPr>
            </w:pPr>
            <w:r>
              <w:rPr>
                <w:color w:val="auto"/>
                <w:sz w:val="21"/>
                <w:szCs w:val="21"/>
              </w:rPr>
              <w:t>17.支持TCP/IP、UDP、RTP、RTCP、SIP网络协议；</w:t>
            </w:r>
          </w:p>
          <w:p>
            <w:pPr>
              <w:pStyle w:val="50"/>
              <w:tabs>
                <w:tab w:val="left" w:pos="253"/>
              </w:tabs>
              <w:spacing w:after="0" w:line="240" w:lineRule="auto"/>
              <w:jc w:val="left"/>
              <w:rPr>
                <w:color w:val="auto"/>
                <w:sz w:val="21"/>
                <w:szCs w:val="21"/>
              </w:rPr>
            </w:pPr>
            <w:r>
              <w:rPr>
                <w:color w:val="auto"/>
                <w:sz w:val="21"/>
                <w:szCs w:val="21"/>
              </w:rPr>
              <w:t>18.支持远维连接，支持远程关机、重启系统。</w:t>
            </w:r>
          </w:p>
          <w:p>
            <w:pPr>
              <w:pStyle w:val="50"/>
              <w:tabs>
                <w:tab w:val="left" w:pos="253"/>
              </w:tabs>
              <w:spacing w:after="0" w:line="240" w:lineRule="auto"/>
              <w:jc w:val="left"/>
              <w:rPr>
                <w:color w:val="auto"/>
                <w:sz w:val="21"/>
                <w:szCs w:val="21"/>
              </w:rPr>
            </w:pPr>
            <w:r>
              <w:rPr>
                <w:rFonts w:hint="eastAsia" w:eastAsia="黑体"/>
                <w:b/>
                <w:color w:val="auto"/>
                <w:sz w:val="24"/>
                <w:szCs w:val="21"/>
              </w:rPr>
              <w:t>＃</w:t>
            </w:r>
            <w:r>
              <w:rPr>
                <w:color w:val="auto"/>
                <w:sz w:val="21"/>
                <w:szCs w:val="21"/>
              </w:rPr>
              <w:t>19.具备考试工作模式，有安全加密狗，且加密狗的序列号在平台注册登记后，输入帐号密码后才能登陆、调看视频图像，</w:t>
            </w:r>
            <w:r>
              <w:rPr>
                <w:rFonts w:hint="eastAsia"/>
                <w:color w:val="auto"/>
                <w:sz w:val="21"/>
                <w:szCs w:val="21"/>
              </w:rPr>
              <w:t>具有国家认定或国际认证的第三方检测机构出具的检测报告（提供复印件加盖供应商公章）</w:t>
            </w:r>
            <w:r>
              <w:rPr>
                <w:color w:val="auto"/>
                <w:sz w:val="21"/>
                <w:szCs w:val="21"/>
              </w:rPr>
              <w:t xml:space="preserve">； </w:t>
            </w:r>
          </w:p>
          <w:p>
            <w:pPr>
              <w:pStyle w:val="50"/>
              <w:tabs>
                <w:tab w:val="left" w:pos="253"/>
              </w:tabs>
              <w:spacing w:after="0" w:line="240" w:lineRule="auto"/>
              <w:jc w:val="left"/>
              <w:rPr>
                <w:color w:val="auto"/>
                <w:szCs w:val="21"/>
              </w:rPr>
            </w:pPr>
            <w:r>
              <w:rPr>
                <w:color w:val="auto"/>
                <w:sz w:val="21"/>
                <w:szCs w:val="21"/>
              </w:rPr>
              <w:t>20.支持图形化流量侦测、网络封包分析、调用任务管理器；</w:t>
            </w:r>
          </w:p>
          <w:p>
            <w:pPr>
              <w:rPr>
                <w:bCs/>
                <w:color w:val="auto"/>
                <w:kern w:val="0"/>
                <w:szCs w:val="21"/>
              </w:rPr>
            </w:pPr>
            <w:r>
              <w:rPr>
                <w:color w:val="auto"/>
                <w:kern w:val="0"/>
                <w:szCs w:val="21"/>
              </w:rPr>
              <w:t>▲21.必须与学校已经建设网上巡查系统无缝兼容，必须与自治区招生考试院互联互通。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widowControl/>
              <w:jc w:val="center"/>
              <w:rPr>
                <w:color w:val="auto"/>
                <w:szCs w:val="21"/>
              </w:rPr>
            </w:pPr>
            <w:r>
              <w:rPr>
                <w:color w:val="auto"/>
                <w:kern w:val="0"/>
                <w:szCs w:val="21"/>
              </w:rPr>
              <w:t>9</w:t>
            </w:r>
          </w:p>
        </w:tc>
        <w:tc>
          <w:tcPr>
            <w:tcW w:w="1134" w:type="dxa"/>
            <w:gridSpan w:val="2"/>
            <w:vAlign w:val="center"/>
          </w:tcPr>
          <w:p>
            <w:pPr>
              <w:widowControl/>
              <w:jc w:val="center"/>
              <w:rPr>
                <w:bCs/>
                <w:color w:val="auto"/>
                <w:kern w:val="0"/>
                <w:szCs w:val="21"/>
              </w:rPr>
            </w:pPr>
            <w:r>
              <w:rPr>
                <w:color w:val="auto"/>
                <w:kern w:val="0"/>
                <w:szCs w:val="21"/>
              </w:rPr>
              <w:t>标准化考场教学管理平台</w:t>
            </w:r>
          </w:p>
        </w:tc>
        <w:tc>
          <w:tcPr>
            <w:tcW w:w="567" w:type="dxa"/>
            <w:vAlign w:val="center"/>
          </w:tcPr>
          <w:p>
            <w:pPr>
              <w:jc w:val="center"/>
              <w:rPr>
                <w:bCs/>
                <w:color w:val="auto"/>
                <w:kern w:val="0"/>
                <w:szCs w:val="21"/>
              </w:rPr>
            </w:pPr>
            <w:r>
              <w:rPr>
                <w:color w:val="auto"/>
                <w:szCs w:val="21"/>
              </w:rPr>
              <w:t>1套</w:t>
            </w:r>
          </w:p>
        </w:tc>
        <w:tc>
          <w:tcPr>
            <w:tcW w:w="7512" w:type="dxa"/>
            <w:vAlign w:val="top"/>
          </w:tcPr>
          <w:p>
            <w:pPr>
              <w:pStyle w:val="50"/>
              <w:tabs>
                <w:tab w:val="left" w:pos="253"/>
              </w:tabs>
              <w:spacing w:after="0" w:line="240" w:lineRule="auto"/>
              <w:jc w:val="left"/>
              <w:rPr>
                <w:color w:val="auto"/>
                <w:sz w:val="21"/>
                <w:szCs w:val="21"/>
              </w:rPr>
            </w:pPr>
            <w:r>
              <w:rPr>
                <w:color w:val="auto"/>
                <w:sz w:val="21"/>
                <w:szCs w:val="21"/>
              </w:rPr>
              <w:t>1.软件功能方面：</w:t>
            </w:r>
          </w:p>
          <w:p>
            <w:pPr>
              <w:pStyle w:val="50"/>
              <w:tabs>
                <w:tab w:val="left" w:pos="253"/>
              </w:tabs>
              <w:spacing w:after="0" w:line="240" w:lineRule="auto"/>
              <w:jc w:val="left"/>
              <w:rPr>
                <w:color w:val="auto"/>
                <w:sz w:val="21"/>
                <w:szCs w:val="21"/>
              </w:rPr>
            </w:pPr>
            <w:r>
              <w:rPr>
                <w:rFonts w:hint="eastAsia" w:eastAsia="黑体"/>
                <w:b/>
                <w:color w:val="auto"/>
                <w:sz w:val="24"/>
                <w:szCs w:val="21"/>
              </w:rPr>
              <w:t>＃</w:t>
            </w:r>
            <w:r>
              <w:rPr>
                <w:color w:val="auto"/>
                <w:sz w:val="21"/>
                <w:szCs w:val="21"/>
              </w:rPr>
              <w:t>1.1账户管理，管理学生、教师、管理员等角色的账户信息，并为管理员提供系统最高操作权限，教师提供督导与反思操作权限</w:t>
            </w:r>
            <w:r>
              <w:rPr>
                <w:rFonts w:hint="eastAsia"/>
                <w:color w:val="auto"/>
                <w:sz w:val="21"/>
                <w:szCs w:val="21"/>
              </w:rPr>
              <w:t>具有国家认定或国际认证的第三方检测机构出具的检测报告（提供复印件加盖供应商公章）</w:t>
            </w:r>
            <w:r>
              <w:rPr>
                <w:color w:val="auto"/>
                <w:sz w:val="21"/>
                <w:szCs w:val="21"/>
              </w:rPr>
              <w:t>；</w:t>
            </w:r>
          </w:p>
          <w:p>
            <w:pPr>
              <w:pStyle w:val="50"/>
              <w:tabs>
                <w:tab w:val="left" w:pos="253"/>
              </w:tabs>
              <w:spacing w:after="0" w:line="240" w:lineRule="auto"/>
              <w:jc w:val="left"/>
              <w:rPr>
                <w:color w:val="auto"/>
                <w:sz w:val="21"/>
                <w:szCs w:val="21"/>
              </w:rPr>
            </w:pPr>
            <w:r>
              <w:rPr>
                <w:rFonts w:hint="eastAsia" w:eastAsia="黑体"/>
                <w:b/>
                <w:color w:val="auto"/>
                <w:sz w:val="24"/>
                <w:szCs w:val="21"/>
              </w:rPr>
              <w:t>＃</w:t>
            </w:r>
            <w:r>
              <w:rPr>
                <w:color w:val="auto"/>
                <w:sz w:val="21"/>
                <w:szCs w:val="21"/>
              </w:rPr>
              <w:t>1.2班级管理，支持新增、修改和删除教室信息，并提供教室设备的新增、修改和删除等功能，支持新增、修改和删除班级信息，</w:t>
            </w:r>
            <w:r>
              <w:rPr>
                <w:rFonts w:hint="eastAsia"/>
                <w:color w:val="auto"/>
                <w:sz w:val="21"/>
                <w:szCs w:val="21"/>
              </w:rPr>
              <w:t>具有国家认定或国际认证的第三方检测机构出具的检测报告（提供复印件加盖供应商公章）</w:t>
            </w:r>
            <w:r>
              <w:rPr>
                <w:color w:val="auto"/>
                <w:sz w:val="21"/>
                <w:szCs w:val="21"/>
              </w:rPr>
              <w:t>；</w:t>
            </w:r>
          </w:p>
          <w:p>
            <w:pPr>
              <w:pStyle w:val="50"/>
              <w:tabs>
                <w:tab w:val="left" w:pos="253"/>
              </w:tabs>
              <w:spacing w:after="0" w:line="240" w:lineRule="auto"/>
              <w:jc w:val="left"/>
              <w:rPr>
                <w:color w:val="auto"/>
                <w:sz w:val="21"/>
                <w:szCs w:val="21"/>
              </w:rPr>
            </w:pPr>
            <w:r>
              <w:rPr>
                <w:rFonts w:hint="eastAsia" w:eastAsia="黑体"/>
                <w:b/>
                <w:color w:val="auto"/>
                <w:sz w:val="24"/>
                <w:szCs w:val="21"/>
              </w:rPr>
              <w:t>＃</w:t>
            </w:r>
            <w:r>
              <w:rPr>
                <w:color w:val="auto"/>
                <w:sz w:val="21"/>
                <w:szCs w:val="21"/>
              </w:rPr>
              <w:t>1.3支持按年级、班级、课程和教师统计光荣榜和警示榜数据，支持按年级、班级、课程和教师统计评课任务、点评和实时听评课情况，支持按年级、班级、课程和教师统计巡课任务、违纪和违纪上报等情况，按周、月和学期展示统计结果，</w:t>
            </w:r>
            <w:r>
              <w:rPr>
                <w:rFonts w:hint="eastAsia"/>
                <w:color w:val="auto"/>
                <w:sz w:val="21"/>
                <w:szCs w:val="21"/>
              </w:rPr>
              <w:t>具有国家认定或国际认证的第三方检测机构出具的检测报告（提供复印件加盖供应商公章）</w:t>
            </w:r>
            <w:r>
              <w:rPr>
                <w:color w:val="auto"/>
                <w:sz w:val="21"/>
                <w:szCs w:val="21"/>
              </w:rPr>
              <w:t>；</w:t>
            </w:r>
          </w:p>
          <w:p>
            <w:pPr>
              <w:pStyle w:val="50"/>
              <w:tabs>
                <w:tab w:val="left" w:pos="253"/>
              </w:tabs>
              <w:spacing w:after="0" w:line="240" w:lineRule="auto"/>
              <w:jc w:val="left"/>
              <w:rPr>
                <w:bCs/>
                <w:color w:val="auto"/>
                <w:kern w:val="0"/>
                <w:szCs w:val="21"/>
              </w:rPr>
            </w:pPr>
            <w:r>
              <w:rPr>
                <w:rFonts w:hint="eastAsia" w:eastAsia="黑体"/>
                <w:b/>
                <w:color w:val="auto"/>
                <w:sz w:val="24"/>
                <w:szCs w:val="21"/>
              </w:rPr>
              <w:t>＃</w:t>
            </w:r>
            <w:r>
              <w:rPr>
                <w:color w:val="auto"/>
                <w:sz w:val="21"/>
                <w:szCs w:val="21"/>
              </w:rPr>
              <w:t>1.4支持对教研课与督导课任务完成情况进行统计分析、对课堂质量分值进行多维度数据统计分析，支持对学校各年级、班级、学科、老师多维度分析，支持周、月、学期多时间维度进行数据统计分析提供相关证明材料（包括但不限于彩页、官网和功能截图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widowControl/>
              <w:jc w:val="center"/>
              <w:rPr>
                <w:color w:val="auto"/>
                <w:szCs w:val="21"/>
              </w:rPr>
            </w:pPr>
            <w:r>
              <w:rPr>
                <w:color w:val="auto"/>
                <w:kern w:val="0"/>
                <w:szCs w:val="21"/>
              </w:rPr>
              <w:t>10</w:t>
            </w:r>
          </w:p>
        </w:tc>
        <w:tc>
          <w:tcPr>
            <w:tcW w:w="1134" w:type="dxa"/>
            <w:gridSpan w:val="2"/>
            <w:vAlign w:val="center"/>
          </w:tcPr>
          <w:p>
            <w:pPr>
              <w:widowControl/>
              <w:jc w:val="center"/>
              <w:rPr>
                <w:color w:val="auto"/>
                <w:kern w:val="0"/>
                <w:szCs w:val="21"/>
              </w:rPr>
            </w:pPr>
            <w:r>
              <w:rPr>
                <w:color w:val="auto"/>
                <w:kern w:val="0"/>
                <w:szCs w:val="21"/>
              </w:rPr>
              <w:t>液晶</w:t>
            </w:r>
          </w:p>
          <w:p>
            <w:pPr>
              <w:widowControl/>
              <w:jc w:val="center"/>
              <w:rPr>
                <w:bCs/>
                <w:color w:val="auto"/>
                <w:kern w:val="0"/>
                <w:szCs w:val="21"/>
              </w:rPr>
            </w:pPr>
            <w:r>
              <w:rPr>
                <w:color w:val="auto"/>
                <w:kern w:val="0"/>
                <w:szCs w:val="21"/>
              </w:rPr>
              <w:t>拼接单元</w:t>
            </w:r>
          </w:p>
        </w:tc>
        <w:tc>
          <w:tcPr>
            <w:tcW w:w="567" w:type="dxa"/>
            <w:vAlign w:val="center"/>
          </w:tcPr>
          <w:p>
            <w:pPr>
              <w:widowControl/>
              <w:jc w:val="center"/>
              <w:rPr>
                <w:bCs/>
                <w:color w:val="auto"/>
                <w:kern w:val="0"/>
                <w:szCs w:val="21"/>
              </w:rPr>
            </w:pPr>
            <w:r>
              <w:rPr>
                <w:color w:val="auto"/>
                <w:kern w:val="0"/>
                <w:szCs w:val="21"/>
              </w:rPr>
              <w:t>6台</w:t>
            </w:r>
          </w:p>
        </w:tc>
        <w:tc>
          <w:tcPr>
            <w:tcW w:w="7512" w:type="dxa"/>
            <w:vAlign w:val="top"/>
          </w:tcPr>
          <w:p>
            <w:pPr>
              <w:adjustRightInd w:val="0"/>
              <w:contextualSpacing/>
              <w:rPr>
                <w:color w:val="auto"/>
                <w:kern w:val="0"/>
                <w:szCs w:val="21"/>
              </w:rPr>
            </w:pPr>
            <w:r>
              <w:rPr>
                <w:color w:val="auto"/>
                <w:kern w:val="0"/>
                <w:szCs w:val="21"/>
              </w:rPr>
              <w:t>1.屏幕尺寸约55寸，LED光源；</w:t>
            </w:r>
          </w:p>
          <w:p>
            <w:pPr>
              <w:adjustRightInd w:val="0"/>
              <w:contextualSpacing/>
              <w:rPr>
                <w:color w:val="auto"/>
                <w:kern w:val="0"/>
                <w:szCs w:val="21"/>
              </w:rPr>
            </w:pPr>
            <w:r>
              <w:rPr>
                <w:color w:val="auto"/>
                <w:kern w:val="0"/>
                <w:szCs w:val="21"/>
              </w:rPr>
              <w:t>2.分辨率：1920*1080，双边拼缝≦3.5mm，水平可视角度≧178°，垂直可视角度≧178°，响应时间≦8ms；</w:t>
            </w:r>
          </w:p>
          <w:p>
            <w:pPr>
              <w:pStyle w:val="50"/>
              <w:tabs>
                <w:tab w:val="left" w:pos="253"/>
              </w:tabs>
              <w:adjustRightInd w:val="0"/>
              <w:spacing w:after="0" w:line="240" w:lineRule="auto"/>
              <w:contextualSpacing/>
              <w:jc w:val="left"/>
              <w:rPr>
                <w:color w:val="auto"/>
                <w:kern w:val="0"/>
                <w:sz w:val="21"/>
                <w:szCs w:val="21"/>
              </w:rPr>
            </w:pPr>
            <w:r>
              <w:rPr>
                <w:color w:val="auto"/>
                <w:kern w:val="0"/>
                <w:sz w:val="21"/>
                <w:szCs w:val="21"/>
              </w:rPr>
              <w:t>3.显示要求：</w:t>
            </w:r>
          </w:p>
          <w:p>
            <w:pPr>
              <w:pStyle w:val="50"/>
              <w:tabs>
                <w:tab w:val="left" w:pos="253"/>
              </w:tabs>
              <w:adjustRightInd w:val="0"/>
              <w:spacing w:after="0" w:line="240" w:lineRule="auto"/>
              <w:contextualSpacing/>
              <w:jc w:val="left"/>
              <w:rPr>
                <w:color w:val="auto"/>
                <w:sz w:val="21"/>
                <w:szCs w:val="21"/>
              </w:rPr>
            </w:pPr>
            <w:r>
              <w:rPr>
                <w:rFonts w:hint="eastAsia" w:eastAsia="黑体"/>
                <w:b/>
                <w:color w:val="auto"/>
                <w:sz w:val="24"/>
                <w:szCs w:val="21"/>
              </w:rPr>
              <w:t>＃</w:t>
            </w:r>
            <w:r>
              <w:rPr>
                <w:color w:val="auto"/>
                <w:sz w:val="21"/>
                <w:szCs w:val="21"/>
              </w:rPr>
              <w:t>3.1亮</w:t>
            </w:r>
            <w:r>
              <w:rPr>
                <w:color w:val="auto"/>
                <w:kern w:val="0"/>
                <w:sz w:val="21"/>
                <w:szCs w:val="21"/>
              </w:rPr>
              <w:t>度不低于500cd/m2，对比度不低于4000:1；图像显示清晰度≥950TVL，亮度鉴别等级≥11级，</w:t>
            </w:r>
            <w:r>
              <w:rPr>
                <w:rFonts w:hint="eastAsia"/>
                <w:color w:val="auto"/>
                <w:kern w:val="0"/>
                <w:sz w:val="21"/>
                <w:szCs w:val="21"/>
              </w:rPr>
              <w:t>具有国家认定或国际认证的第三方检测机构出具的检测报告（提供复印件加盖供应商公章）</w:t>
            </w:r>
            <w:r>
              <w:rPr>
                <w:color w:val="auto"/>
                <w:sz w:val="21"/>
                <w:szCs w:val="21"/>
              </w:rPr>
              <w:t>；</w:t>
            </w:r>
          </w:p>
          <w:p>
            <w:pPr>
              <w:pStyle w:val="50"/>
              <w:tabs>
                <w:tab w:val="left" w:pos="253"/>
              </w:tabs>
              <w:adjustRightInd w:val="0"/>
              <w:spacing w:after="0" w:line="240" w:lineRule="auto"/>
              <w:contextualSpacing/>
              <w:jc w:val="left"/>
              <w:rPr>
                <w:color w:val="auto"/>
                <w:sz w:val="21"/>
                <w:szCs w:val="21"/>
              </w:rPr>
            </w:pPr>
            <w:r>
              <w:rPr>
                <w:rFonts w:hint="eastAsia" w:eastAsia="黑体"/>
                <w:b/>
                <w:color w:val="auto"/>
                <w:sz w:val="24"/>
                <w:szCs w:val="21"/>
              </w:rPr>
              <w:t>＃</w:t>
            </w:r>
            <w:r>
              <w:rPr>
                <w:color w:val="auto"/>
                <w:kern w:val="0"/>
                <w:sz w:val="21"/>
                <w:szCs w:val="21"/>
              </w:rPr>
              <w:t>3.2液晶拼接单元不造成对视网膜的蓝光危害，</w:t>
            </w:r>
            <w:r>
              <w:rPr>
                <w:rFonts w:hint="eastAsia"/>
                <w:color w:val="auto"/>
                <w:kern w:val="0"/>
                <w:sz w:val="21"/>
                <w:szCs w:val="21"/>
              </w:rPr>
              <w:t>具有国家认定或国际认证的第三方检测机构出具的检测报告（提供复印件加盖供应商公章）</w:t>
            </w:r>
            <w:r>
              <w:rPr>
                <w:color w:val="auto"/>
                <w:sz w:val="21"/>
                <w:szCs w:val="21"/>
              </w:rPr>
              <w:t>；</w:t>
            </w:r>
          </w:p>
          <w:p>
            <w:pPr>
              <w:pStyle w:val="50"/>
              <w:tabs>
                <w:tab w:val="left" w:pos="253"/>
              </w:tabs>
              <w:adjustRightInd w:val="0"/>
              <w:spacing w:after="0" w:line="240" w:lineRule="auto"/>
              <w:contextualSpacing/>
              <w:jc w:val="left"/>
              <w:rPr>
                <w:color w:val="auto"/>
                <w:sz w:val="21"/>
                <w:szCs w:val="21"/>
              </w:rPr>
            </w:pPr>
            <w:r>
              <w:rPr>
                <w:rFonts w:hint="eastAsia" w:eastAsia="黑体"/>
                <w:b/>
                <w:color w:val="auto"/>
                <w:sz w:val="24"/>
                <w:szCs w:val="21"/>
              </w:rPr>
              <w:t>＃</w:t>
            </w:r>
            <w:r>
              <w:rPr>
                <w:color w:val="auto"/>
                <w:kern w:val="0"/>
                <w:sz w:val="21"/>
                <w:szCs w:val="21"/>
              </w:rPr>
              <w:t>3.3显示单元可见光透射比≥89.89%，因磨耗引起的雾度≤1.3%，抗磨性能符合JC/T2130-2012标准中的技术要求，</w:t>
            </w:r>
            <w:r>
              <w:rPr>
                <w:rFonts w:hint="eastAsia"/>
                <w:color w:val="auto"/>
                <w:kern w:val="0"/>
                <w:sz w:val="21"/>
                <w:szCs w:val="21"/>
              </w:rPr>
              <w:t>具有国家认定或国际认证的第三方检测机构出具的检测报告（提供复印件加盖供应商公章）</w:t>
            </w:r>
            <w:r>
              <w:rPr>
                <w:color w:val="auto"/>
                <w:sz w:val="21"/>
                <w:szCs w:val="21"/>
              </w:rPr>
              <w:t>；</w:t>
            </w:r>
          </w:p>
          <w:p>
            <w:pPr>
              <w:pStyle w:val="44"/>
              <w:tabs>
                <w:tab w:val="left" w:pos="253"/>
              </w:tabs>
              <w:adjustRightInd w:val="0"/>
              <w:spacing w:after="0" w:line="240" w:lineRule="auto"/>
              <w:contextualSpacing/>
              <w:rPr>
                <w:color w:val="auto"/>
              </w:rPr>
            </w:pPr>
            <w:r>
              <w:rPr>
                <w:rFonts w:hint="eastAsia" w:eastAsia="黑体"/>
                <w:b/>
                <w:color w:val="auto"/>
                <w:sz w:val="24"/>
                <w:szCs w:val="21"/>
              </w:rPr>
              <w:t>＃</w:t>
            </w:r>
            <w:r>
              <w:rPr>
                <w:color w:val="auto"/>
                <w:kern w:val="0"/>
                <w:szCs w:val="21"/>
              </w:rPr>
              <w:t>3.4显示单元的色彩还原准确性指标ΔE≤0.9，</w:t>
            </w:r>
            <w:r>
              <w:rPr>
                <w:rFonts w:hint="eastAsia"/>
                <w:color w:val="auto"/>
                <w:kern w:val="0"/>
                <w:szCs w:val="21"/>
              </w:rPr>
              <w:t>具有国家认定或国际认证的第三方检测机构出具的检测报告（提供复印件加盖供应商公章）</w:t>
            </w:r>
            <w:r>
              <w:rPr>
                <w:color w:val="auto"/>
                <w:kern w:val="0"/>
                <w:szCs w:val="21"/>
                <w:lang w:bidi="ar"/>
              </w:rPr>
              <w:t>。</w:t>
            </w:r>
          </w:p>
          <w:p>
            <w:pPr>
              <w:pStyle w:val="50"/>
              <w:tabs>
                <w:tab w:val="left" w:pos="253"/>
              </w:tabs>
              <w:adjustRightInd w:val="0"/>
              <w:spacing w:after="0" w:line="240" w:lineRule="auto"/>
              <w:contextualSpacing/>
              <w:jc w:val="left"/>
              <w:rPr>
                <w:color w:val="auto"/>
                <w:kern w:val="0"/>
                <w:sz w:val="21"/>
                <w:szCs w:val="21"/>
              </w:rPr>
            </w:pPr>
            <w:r>
              <w:rPr>
                <w:color w:val="auto"/>
                <w:kern w:val="0"/>
                <w:sz w:val="21"/>
                <w:szCs w:val="21"/>
              </w:rPr>
              <w:t>4.安全要求：</w:t>
            </w:r>
          </w:p>
          <w:p>
            <w:pPr>
              <w:pStyle w:val="50"/>
              <w:tabs>
                <w:tab w:val="left" w:pos="253"/>
              </w:tabs>
              <w:adjustRightInd w:val="0"/>
              <w:spacing w:after="0" w:line="240" w:lineRule="auto"/>
              <w:contextualSpacing/>
              <w:jc w:val="left"/>
              <w:rPr>
                <w:color w:val="auto"/>
                <w:sz w:val="21"/>
                <w:szCs w:val="21"/>
                <w:highlight w:val="green"/>
              </w:rPr>
            </w:pPr>
            <w:r>
              <w:rPr>
                <w:rFonts w:hint="eastAsia" w:eastAsia="黑体"/>
                <w:b/>
                <w:color w:val="auto"/>
                <w:sz w:val="24"/>
                <w:szCs w:val="21"/>
              </w:rPr>
              <w:t>＃</w:t>
            </w:r>
            <w:r>
              <w:rPr>
                <w:color w:val="auto"/>
                <w:kern w:val="0"/>
                <w:sz w:val="21"/>
                <w:szCs w:val="21"/>
              </w:rPr>
              <w:t>4.1显示单元达到绿色设计产品技术规范符合T/CESA1018-2018标准，</w:t>
            </w:r>
            <w:r>
              <w:rPr>
                <w:rFonts w:hint="eastAsia"/>
                <w:color w:val="auto"/>
                <w:kern w:val="0"/>
                <w:sz w:val="21"/>
                <w:szCs w:val="21"/>
              </w:rPr>
              <w:t>具有国家认定或国际认证的第三方检测机构出具的检测报告（提供复印件加盖供应商公章）</w:t>
            </w:r>
            <w:r>
              <w:rPr>
                <w:color w:val="auto"/>
                <w:sz w:val="21"/>
                <w:szCs w:val="21"/>
              </w:rPr>
              <w:t>；</w:t>
            </w:r>
          </w:p>
          <w:p>
            <w:pPr>
              <w:pStyle w:val="50"/>
              <w:tabs>
                <w:tab w:val="left" w:pos="253"/>
              </w:tabs>
              <w:adjustRightInd w:val="0"/>
              <w:spacing w:after="0" w:line="240" w:lineRule="auto"/>
              <w:contextualSpacing/>
              <w:jc w:val="left"/>
              <w:rPr>
                <w:rFonts w:hint="eastAsia"/>
                <w:color w:val="auto"/>
                <w:kern w:val="0"/>
                <w:szCs w:val="21"/>
              </w:rPr>
            </w:pPr>
            <w:r>
              <w:rPr>
                <w:rFonts w:hint="eastAsia" w:eastAsia="黑体"/>
                <w:b/>
                <w:color w:val="auto"/>
                <w:sz w:val="24"/>
                <w:szCs w:val="21"/>
              </w:rPr>
              <w:t>＃</w:t>
            </w:r>
            <w:r>
              <w:rPr>
                <w:color w:val="auto"/>
                <w:kern w:val="0"/>
                <w:sz w:val="21"/>
                <w:szCs w:val="21"/>
              </w:rPr>
              <w:t>4.2LCD单元包装运输符合ISO2248-1985国际标准，</w:t>
            </w:r>
            <w:r>
              <w:rPr>
                <w:rFonts w:hint="eastAsia"/>
                <w:color w:val="auto"/>
                <w:kern w:val="0"/>
                <w:sz w:val="21"/>
                <w:szCs w:val="21"/>
              </w:rPr>
              <w:t>具有国家认定或国际认证的第三方检测机构出具的检测报告（提供复印件加盖供应商公章）</w:t>
            </w:r>
            <w:r>
              <w:rPr>
                <w:rFonts w:hint="eastAsia"/>
                <w:color w:val="auto"/>
                <w:kern w:val="0"/>
                <w:szCs w:val="21"/>
              </w:rPr>
              <w:t>。</w:t>
            </w:r>
          </w:p>
          <w:p>
            <w:pPr>
              <w:adjustRightInd w:val="0"/>
              <w:contextualSpacing/>
              <w:rPr>
                <w:color w:val="auto"/>
                <w:kern w:val="0"/>
                <w:szCs w:val="21"/>
              </w:rPr>
            </w:pPr>
            <w:r>
              <w:rPr>
                <w:color w:val="auto"/>
                <w:kern w:val="0"/>
                <w:szCs w:val="21"/>
              </w:rPr>
              <w:t>5.产品出厂时坏点率须为0，且在最大亮度下运行3000小时后产生的坏点率不超过1ppm；</w:t>
            </w:r>
          </w:p>
          <w:p>
            <w:pPr>
              <w:adjustRightInd w:val="0"/>
              <w:contextualSpacing/>
              <w:rPr>
                <w:color w:val="auto"/>
                <w:kern w:val="0"/>
                <w:szCs w:val="21"/>
              </w:rPr>
            </w:pPr>
            <w:r>
              <w:rPr>
                <w:color w:val="auto"/>
                <w:kern w:val="0"/>
                <w:szCs w:val="21"/>
              </w:rPr>
              <w:t>6.产品漏光度＜0.005cd/㎡；</w:t>
            </w:r>
          </w:p>
          <w:p>
            <w:pPr>
              <w:adjustRightInd w:val="0"/>
              <w:contextualSpacing/>
              <w:rPr>
                <w:color w:val="auto"/>
                <w:kern w:val="0"/>
                <w:szCs w:val="21"/>
              </w:rPr>
            </w:pPr>
            <w:r>
              <w:rPr>
                <w:color w:val="auto"/>
                <w:kern w:val="0"/>
                <w:szCs w:val="21"/>
              </w:rPr>
              <w:t>7.产品32灰阶切换时间≤2ms；</w:t>
            </w:r>
          </w:p>
          <w:p>
            <w:pPr>
              <w:adjustRightInd w:val="0"/>
              <w:contextualSpacing/>
              <w:rPr>
                <w:color w:val="auto"/>
                <w:kern w:val="0"/>
                <w:szCs w:val="21"/>
              </w:rPr>
            </w:pPr>
            <w:r>
              <w:rPr>
                <w:color w:val="auto"/>
                <w:kern w:val="0"/>
                <w:szCs w:val="21"/>
              </w:rPr>
              <w:t>8.液晶显示单元拼接安装后，拼接精度≤0.2mm；</w:t>
            </w:r>
          </w:p>
          <w:p>
            <w:pPr>
              <w:adjustRightInd w:val="0"/>
              <w:contextualSpacing/>
              <w:rPr>
                <w:bCs/>
                <w:color w:val="auto"/>
                <w:kern w:val="0"/>
                <w:szCs w:val="21"/>
              </w:rPr>
            </w:pPr>
            <w:r>
              <w:rPr>
                <w:color w:val="auto"/>
                <w:kern w:val="0"/>
                <w:szCs w:val="21"/>
              </w:rPr>
              <w:t>9.液晶拼接单元表面抗推力设计，对表面平均9点分别施加10N的力液晶屏正常使用无异常。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widowControl/>
              <w:jc w:val="center"/>
              <w:rPr>
                <w:color w:val="auto"/>
                <w:szCs w:val="21"/>
              </w:rPr>
            </w:pPr>
            <w:r>
              <w:rPr>
                <w:color w:val="auto"/>
                <w:kern w:val="0"/>
                <w:szCs w:val="21"/>
              </w:rPr>
              <w:t>11</w:t>
            </w:r>
          </w:p>
        </w:tc>
        <w:tc>
          <w:tcPr>
            <w:tcW w:w="1134" w:type="dxa"/>
            <w:gridSpan w:val="2"/>
            <w:vAlign w:val="center"/>
          </w:tcPr>
          <w:p>
            <w:pPr>
              <w:widowControl/>
              <w:jc w:val="center"/>
              <w:rPr>
                <w:bCs/>
                <w:color w:val="auto"/>
                <w:kern w:val="0"/>
                <w:szCs w:val="21"/>
              </w:rPr>
            </w:pPr>
            <w:r>
              <w:rPr>
                <w:color w:val="auto"/>
                <w:kern w:val="0"/>
                <w:szCs w:val="21"/>
              </w:rPr>
              <w:t>配套支架</w:t>
            </w:r>
          </w:p>
        </w:tc>
        <w:tc>
          <w:tcPr>
            <w:tcW w:w="567" w:type="dxa"/>
            <w:vAlign w:val="center"/>
          </w:tcPr>
          <w:p>
            <w:pPr>
              <w:widowControl/>
              <w:jc w:val="center"/>
              <w:rPr>
                <w:bCs/>
                <w:color w:val="auto"/>
                <w:kern w:val="0"/>
                <w:szCs w:val="21"/>
              </w:rPr>
            </w:pPr>
            <w:r>
              <w:rPr>
                <w:color w:val="auto"/>
                <w:kern w:val="0"/>
                <w:szCs w:val="21"/>
              </w:rPr>
              <w:t>6套</w:t>
            </w:r>
          </w:p>
        </w:tc>
        <w:tc>
          <w:tcPr>
            <w:tcW w:w="7512" w:type="dxa"/>
            <w:vAlign w:val="center"/>
          </w:tcPr>
          <w:p>
            <w:pPr>
              <w:widowControl/>
              <w:jc w:val="left"/>
              <w:rPr>
                <w:bCs/>
                <w:color w:val="auto"/>
                <w:kern w:val="0"/>
                <w:szCs w:val="21"/>
              </w:rPr>
            </w:pPr>
            <w:r>
              <w:rPr>
                <w:color w:val="auto"/>
                <w:kern w:val="0"/>
                <w:szCs w:val="21"/>
              </w:rPr>
              <w:t>液晶拼接单元配套定做。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widowControl/>
              <w:jc w:val="center"/>
              <w:rPr>
                <w:color w:val="auto"/>
                <w:szCs w:val="21"/>
              </w:rPr>
            </w:pPr>
            <w:r>
              <w:rPr>
                <w:color w:val="auto"/>
                <w:kern w:val="0"/>
                <w:szCs w:val="21"/>
              </w:rPr>
              <w:t>12</w:t>
            </w:r>
          </w:p>
        </w:tc>
        <w:tc>
          <w:tcPr>
            <w:tcW w:w="1134" w:type="dxa"/>
            <w:gridSpan w:val="2"/>
            <w:vAlign w:val="center"/>
          </w:tcPr>
          <w:p>
            <w:pPr>
              <w:pStyle w:val="50"/>
              <w:spacing w:after="0" w:line="240" w:lineRule="auto"/>
              <w:rPr>
                <w:bCs/>
                <w:color w:val="auto"/>
                <w:kern w:val="0"/>
                <w:szCs w:val="21"/>
              </w:rPr>
            </w:pPr>
            <w:r>
              <w:rPr>
                <w:color w:val="auto"/>
                <w:sz w:val="21"/>
                <w:szCs w:val="21"/>
              </w:rPr>
              <w:t>标考高清电视墙管理平台</w:t>
            </w:r>
          </w:p>
        </w:tc>
        <w:tc>
          <w:tcPr>
            <w:tcW w:w="567" w:type="dxa"/>
            <w:vAlign w:val="center"/>
          </w:tcPr>
          <w:p>
            <w:pPr>
              <w:widowControl/>
              <w:jc w:val="center"/>
              <w:rPr>
                <w:bCs/>
                <w:color w:val="auto"/>
                <w:kern w:val="0"/>
                <w:szCs w:val="21"/>
              </w:rPr>
            </w:pPr>
            <w:r>
              <w:rPr>
                <w:color w:val="auto"/>
                <w:kern w:val="0"/>
                <w:szCs w:val="21"/>
              </w:rPr>
              <w:t>1台</w:t>
            </w:r>
          </w:p>
        </w:tc>
        <w:tc>
          <w:tcPr>
            <w:tcW w:w="7512" w:type="dxa"/>
            <w:vAlign w:val="top"/>
          </w:tcPr>
          <w:p>
            <w:pPr>
              <w:pStyle w:val="50"/>
              <w:tabs>
                <w:tab w:val="left" w:pos="253"/>
              </w:tabs>
              <w:spacing w:after="0" w:line="240" w:lineRule="auto"/>
              <w:jc w:val="left"/>
              <w:rPr>
                <w:color w:val="auto"/>
                <w:sz w:val="21"/>
                <w:szCs w:val="21"/>
              </w:rPr>
            </w:pPr>
            <w:r>
              <w:rPr>
                <w:color w:val="auto"/>
                <w:sz w:val="21"/>
                <w:szCs w:val="21"/>
              </w:rPr>
              <w:t>▲1.符合《国家教育考试网上巡查系统视频标准技术规范（2017版）》相关技术规范，</w:t>
            </w:r>
            <w:r>
              <w:rPr>
                <w:rFonts w:hint="eastAsia"/>
                <w:color w:val="auto"/>
                <w:sz w:val="21"/>
                <w:szCs w:val="21"/>
              </w:rPr>
              <w:t>具有国家认定或国际认证的第三方检测机构出具的检测报告（提供复印件加盖供应商公章）</w:t>
            </w:r>
            <w:r>
              <w:rPr>
                <w:color w:val="auto"/>
                <w:sz w:val="21"/>
                <w:szCs w:val="21"/>
              </w:rPr>
              <w:t>；</w:t>
            </w:r>
          </w:p>
          <w:p>
            <w:pPr>
              <w:pStyle w:val="50"/>
              <w:adjustRightInd w:val="0"/>
              <w:snapToGrid w:val="0"/>
              <w:spacing w:after="0" w:line="240" w:lineRule="auto"/>
              <w:jc w:val="left"/>
              <w:rPr>
                <w:color w:val="auto"/>
                <w:sz w:val="21"/>
                <w:szCs w:val="21"/>
              </w:rPr>
            </w:pPr>
            <w:r>
              <w:rPr>
                <w:color w:val="auto"/>
                <w:sz w:val="21"/>
                <w:szCs w:val="21"/>
              </w:rPr>
              <w:t xml:space="preserve">2.4U标准机箱，满足中小规模的监控需求； </w:t>
            </w:r>
          </w:p>
          <w:p>
            <w:pPr>
              <w:pStyle w:val="50"/>
              <w:adjustRightInd w:val="0"/>
              <w:snapToGrid w:val="0"/>
              <w:spacing w:after="0" w:line="240" w:lineRule="auto"/>
              <w:jc w:val="left"/>
              <w:rPr>
                <w:color w:val="auto"/>
                <w:sz w:val="21"/>
                <w:szCs w:val="21"/>
              </w:rPr>
            </w:pPr>
            <w:r>
              <w:rPr>
                <w:color w:val="auto"/>
                <w:sz w:val="21"/>
                <w:szCs w:val="21"/>
              </w:rPr>
              <w:t>3.标准机架式设计，运营级ATCA机箱系统；</w:t>
            </w:r>
          </w:p>
          <w:p>
            <w:pPr>
              <w:pStyle w:val="50"/>
              <w:adjustRightInd w:val="0"/>
              <w:snapToGrid w:val="0"/>
              <w:spacing w:after="0" w:line="240" w:lineRule="auto"/>
              <w:jc w:val="left"/>
              <w:rPr>
                <w:color w:val="auto"/>
                <w:sz w:val="21"/>
                <w:szCs w:val="21"/>
              </w:rPr>
            </w:pPr>
            <w:r>
              <w:rPr>
                <w:color w:val="auto"/>
                <w:sz w:val="21"/>
                <w:szCs w:val="21"/>
              </w:rPr>
              <w:t xml:space="preserve">4.插拔式模块化设计，可根据需求灵活扩展，最多可插入13个板卡； </w:t>
            </w:r>
          </w:p>
          <w:p>
            <w:pPr>
              <w:pStyle w:val="50"/>
              <w:adjustRightInd w:val="0"/>
              <w:snapToGrid w:val="0"/>
              <w:spacing w:after="0" w:line="240" w:lineRule="auto"/>
              <w:jc w:val="left"/>
              <w:rPr>
                <w:color w:val="auto"/>
                <w:sz w:val="21"/>
                <w:szCs w:val="21"/>
              </w:rPr>
            </w:pPr>
            <w:r>
              <w:rPr>
                <w:color w:val="auto"/>
                <w:sz w:val="21"/>
                <w:szCs w:val="21"/>
              </w:rPr>
              <w:t>5.双高速无阻塞背板设计，满足大容量视频数据高速交换的需求；</w:t>
            </w:r>
          </w:p>
          <w:p>
            <w:pPr>
              <w:pStyle w:val="50"/>
              <w:adjustRightInd w:val="0"/>
              <w:snapToGrid w:val="0"/>
              <w:spacing w:after="0" w:line="240" w:lineRule="auto"/>
              <w:jc w:val="left"/>
              <w:rPr>
                <w:color w:val="auto"/>
                <w:sz w:val="21"/>
                <w:szCs w:val="21"/>
              </w:rPr>
            </w:pPr>
            <w:r>
              <w:rPr>
                <w:color w:val="auto"/>
                <w:sz w:val="21"/>
                <w:szCs w:val="21"/>
              </w:rPr>
              <w:t>6.支持网络、数字视频信号的接入和切换输出；</w:t>
            </w:r>
          </w:p>
          <w:p>
            <w:pPr>
              <w:pStyle w:val="50"/>
              <w:adjustRightInd w:val="0"/>
              <w:snapToGrid w:val="0"/>
              <w:spacing w:after="0" w:line="240" w:lineRule="auto"/>
              <w:jc w:val="left"/>
              <w:rPr>
                <w:color w:val="auto"/>
                <w:sz w:val="21"/>
                <w:szCs w:val="21"/>
              </w:rPr>
            </w:pPr>
            <w:r>
              <w:rPr>
                <w:color w:val="auto"/>
                <w:sz w:val="21"/>
                <w:szCs w:val="21"/>
              </w:rPr>
              <w:t xml:space="preserve">7.支持原始视频数据无压缩直接交换输出； </w:t>
            </w:r>
          </w:p>
          <w:p>
            <w:pPr>
              <w:pStyle w:val="50"/>
              <w:adjustRightInd w:val="0"/>
              <w:snapToGrid w:val="0"/>
              <w:spacing w:after="0" w:line="240" w:lineRule="auto"/>
              <w:jc w:val="left"/>
              <w:rPr>
                <w:color w:val="auto"/>
                <w:sz w:val="21"/>
                <w:szCs w:val="21"/>
              </w:rPr>
            </w:pPr>
            <w:r>
              <w:rPr>
                <w:color w:val="auto"/>
                <w:sz w:val="21"/>
                <w:szCs w:val="21"/>
              </w:rPr>
              <w:t xml:space="preserve">8.模块化输入、输出板设计，可根据需求组合为各种规格的数字视频交换矩阵； </w:t>
            </w:r>
          </w:p>
          <w:p>
            <w:pPr>
              <w:pStyle w:val="50"/>
              <w:adjustRightInd w:val="0"/>
              <w:snapToGrid w:val="0"/>
              <w:spacing w:after="0" w:line="240" w:lineRule="auto"/>
              <w:jc w:val="left"/>
              <w:rPr>
                <w:color w:val="auto"/>
                <w:sz w:val="21"/>
                <w:szCs w:val="21"/>
              </w:rPr>
            </w:pPr>
            <w:r>
              <w:rPr>
                <w:color w:val="auto"/>
                <w:sz w:val="21"/>
                <w:szCs w:val="21"/>
              </w:rPr>
              <w:t xml:space="preserve">9.支持双码流技术； </w:t>
            </w:r>
          </w:p>
          <w:p>
            <w:pPr>
              <w:pStyle w:val="50"/>
              <w:adjustRightInd w:val="0"/>
              <w:snapToGrid w:val="0"/>
              <w:spacing w:after="0" w:line="240" w:lineRule="auto"/>
              <w:jc w:val="left"/>
              <w:rPr>
                <w:color w:val="auto"/>
                <w:sz w:val="21"/>
                <w:szCs w:val="21"/>
              </w:rPr>
            </w:pPr>
            <w:r>
              <w:rPr>
                <w:color w:val="auto"/>
                <w:sz w:val="21"/>
                <w:szCs w:val="21"/>
              </w:rPr>
              <w:t>10.支持PS、TS、ES、RTP等主流封装格式；</w:t>
            </w:r>
          </w:p>
          <w:p>
            <w:pPr>
              <w:pStyle w:val="50"/>
              <w:adjustRightInd w:val="0"/>
              <w:snapToGrid w:val="0"/>
              <w:spacing w:after="0" w:line="240" w:lineRule="auto"/>
              <w:jc w:val="left"/>
              <w:rPr>
                <w:color w:val="auto"/>
                <w:sz w:val="21"/>
                <w:szCs w:val="21"/>
              </w:rPr>
            </w:pPr>
            <w:r>
              <w:rPr>
                <w:color w:val="auto"/>
                <w:sz w:val="21"/>
                <w:szCs w:val="21"/>
              </w:rPr>
              <w:t>11.最大支持80路高清视频编码能力；</w:t>
            </w:r>
          </w:p>
          <w:p>
            <w:pPr>
              <w:pStyle w:val="50"/>
              <w:adjustRightInd w:val="0"/>
              <w:snapToGrid w:val="0"/>
              <w:spacing w:after="0" w:line="240" w:lineRule="auto"/>
              <w:jc w:val="left"/>
              <w:rPr>
                <w:color w:val="auto"/>
                <w:sz w:val="21"/>
                <w:szCs w:val="21"/>
              </w:rPr>
            </w:pPr>
            <w:r>
              <w:rPr>
                <w:color w:val="auto"/>
                <w:sz w:val="21"/>
                <w:szCs w:val="21"/>
              </w:rPr>
              <w:t>12.最高支持1200W高清视频解码；单卡支持32路200W高清视频解码能力；单块解码板支持16个1080P的开窗；</w:t>
            </w:r>
          </w:p>
          <w:p>
            <w:pPr>
              <w:pStyle w:val="50"/>
              <w:tabs>
                <w:tab w:val="left" w:pos="253"/>
              </w:tabs>
              <w:spacing w:after="0" w:line="240" w:lineRule="auto"/>
              <w:jc w:val="left"/>
              <w:rPr>
                <w:color w:val="auto"/>
                <w:sz w:val="21"/>
                <w:szCs w:val="21"/>
              </w:rPr>
            </w:pPr>
            <w:r>
              <w:rPr>
                <w:color w:val="auto"/>
                <w:sz w:val="21"/>
                <w:szCs w:val="21"/>
              </w:rPr>
              <w:t>13.功能要求：</w:t>
            </w:r>
          </w:p>
          <w:p>
            <w:pPr>
              <w:pStyle w:val="50"/>
              <w:tabs>
                <w:tab w:val="left" w:pos="253"/>
              </w:tabs>
              <w:spacing w:after="0" w:line="240" w:lineRule="auto"/>
              <w:jc w:val="left"/>
              <w:rPr>
                <w:color w:val="auto"/>
                <w:sz w:val="21"/>
                <w:szCs w:val="21"/>
              </w:rPr>
            </w:pPr>
            <w:r>
              <w:rPr>
                <w:rFonts w:hint="eastAsia" w:eastAsia="黑体"/>
                <w:b/>
                <w:color w:val="auto"/>
                <w:sz w:val="24"/>
                <w:szCs w:val="21"/>
              </w:rPr>
              <w:t>＃</w:t>
            </w:r>
            <w:r>
              <w:rPr>
                <w:color w:val="auto"/>
                <w:sz w:val="21"/>
                <w:szCs w:val="21"/>
              </w:rPr>
              <w:t>13.1解码延时设置。支持对解码通道选择最短延时、实时性好、均衡、流畅性较好、流畅性好等5种解码延时设置，</w:t>
            </w:r>
            <w:r>
              <w:rPr>
                <w:rFonts w:hint="eastAsia"/>
                <w:color w:val="auto"/>
                <w:sz w:val="21"/>
                <w:szCs w:val="21"/>
              </w:rPr>
              <w:t>具有国家认定或国际认证的第三方检测机构出具的检测报告（提供复印件加盖供应商公章）</w:t>
            </w:r>
            <w:r>
              <w:rPr>
                <w:color w:val="auto"/>
                <w:sz w:val="21"/>
                <w:szCs w:val="21"/>
              </w:rPr>
              <w:t>；</w:t>
            </w:r>
          </w:p>
          <w:p>
            <w:pPr>
              <w:pStyle w:val="50"/>
              <w:adjustRightInd w:val="0"/>
              <w:snapToGrid w:val="0"/>
              <w:spacing w:after="0" w:line="240" w:lineRule="auto"/>
              <w:jc w:val="left"/>
              <w:rPr>
                <w:color w:val="auto"/>
                <w:sz w:val="21"/>
                <w:szCs w:val="21"/>
              </w:rPr>
            </w:pPr>
            <w:r>
              <w:rPr>
                <w:rFonts w:hint="eastAsia" w:eastAsia="黑体"/>
                <w:b/>
                <w:color w:val="auto"/>
                <w:sz w:val="24"/>
                <w:szCs w:val="21"/>
              </w:rPr>
              <w:t>＃</w:t>
            </w:r>
            <w:r>
              <w:rPr>
                <w:color w:val="auto"/>
                <w:sz w:val="21"/>
                <w:szCs w:val="21"/>
              </w:rPr>
              <w:t>13.2支持开窗和漫游功能，同一输入通道的视频图像在不同输出端口显示的失步误差小于1ms，</w:t>
            </w:r>
            <w:r>
              <w:rPr>
                <w:rFonts w:hint="eastAsia"/>
                <w:color w:val="auto"/>
                <w:sz w:val="21"/>
                <w:szCs w:val="21"/>
              </w:rPr>
              <w:t>具有国家认定或国际认证的第三方检测机构出具的检测报告（提供复印件加盖供应商公章）</w:t>
            </w:r>
            <w:r>
              <w:rPr>
                <w:color w:val="auto"/>
                <w:sz w:val="21"/>
                <w:szCs w:val="21"/>
              </w:rPr>
              <w:t>；</w:t>
            </w:r>
          </w:p>
          <w:p>
            <w:pPr>
              <w:pStyle w:val="50"/>
              <w:tabs>
                <w:tab w:val="left" w:pos="253"/>
              </w:tabs>
              <w:spacing w:after="0" w:line="240" w:lineRule="auto"/>
              <w:jc w:val="left"/>
              <w:rPr>
                <w:color w:val="auto"/>
                <w:sz w:val="21"/>
                <w:szCs w:val="21"/>
              </w:rPr>
            </w:pPr>
            <w:r>
              <w:rPr>
                <w:rFonts w:hint="eastAsia" w:eastAsia="黑体"/>
                <w:b/>
                <w:color w:val="auto"/>
                <w:sz w:val="24"/>
                <w:szCs w:val="21"/>
              </w:rPr>
              <w:t>＃</w:t>
            </w:r>
            <w:r>
              <w:rPr>
                <w:color w:val="auto"/>
                <w:sz w:val="21"/>
                <w:szCs w:val="21"/>
              </w:rPr>
              <w:t>1</w:t>
            </w:r>
            <w:r>
              <w:rPr>
                <w:rFonts w:hint="eastAsia"/>
                <w:color w:val="auto"/>
                <w:sz w:val="21"/>
                <w:szCs w:val="21"/>
              </w:rPr>
              <w:t>3</w:t>
            </w:r>
            <w:r>
              <w:rPr>
                <w:color w:val="auto"/>
                <w:sz w:val="21"/>
                <w:szCs w:val="21"/>
              </w:rPr>
              <w:t>.3支持虚拟LED功能，在多个视频输出拼接画面上编辑字符信息，字符颜色、字间距、背景色、移动速度及文字字体可设置，</w:t>
            </w:r>
            <w:r>
              <w:rPr>
                <w:rFonts w:hint="eastAsia"/>
                <w:color w:val="auto"/>
                <w:sz w:val="21"/>
                <w:szCs w:val="21"/>
              </w:rPr>
              <w:t>具有国家认定或国际认证的第三方检测机构出具的检测报告（提供复印件加盖供应商公章）</w:t>
            </w:r>
            <w:r>
              <w:rPr>
                <w:color w:val="auto"/>
                <w:sz w:val="21"/>
                <w:szCs w:val="21"/>
              </w:rPr>
              <w:t>；</w:t>
            </w:r>
          </w:p>
          <w:p>
            <w:pPr>
              <w:pStyle w:val="50"/>
              <w:adjustRightInd w:val="0"/>
              <w:snapToGrid w:val="0"/>
              <w:spacing w:after="0" w:line="240" w:lineRule="auto"/>
              <w:jc w:val="left"/>
              <w:rPr>
                <w:color w:val="auto"/>
                <w:sz w:val="21"/>
                <w:szCs w:val="21"/>
              </w:rPr>
            </w:pPr>
            <w:r>
              <w:rPr>
                <w:color w:val="auto"/>
                <w:sz w:val="21"/>
                <w:szCs w:val="21"/>
              </w:rPr>
              <w:t xml:space="preserve">14.最大支持40个显示屏的任意大屏拼接； </w:t>
            </w:r>
          </w:p>
          <w:p>
            <w:pPr>
              <w:pStyle w:val="50"/>
              <w:adjustRightInd w:val="0"/>
              <w:snapToGrid w:val="0"/>
              <w:spacing w:after="0" w:line="240" w:lineRule="auto"/>
              <w:jc w:val="left"/>
              <w:rPr>
                <w:color w:val="auto"/>
                <w:sz w:val="21"/>
                <w:szCs w:val="21"/>
              </w:rPr>
            </w:pPr>
            <w:r>
              <w:rPr>
                <w:color w:val="auto"/>
                <w:sz w:val="21"/>
                <w:szCs w:val="21"/>
              </w:rPr>
              <w:t>15.窗口支持1/4/9/16画面分割；</w:t>
            </w:r>
          </w:p>
          <w:p>
            <w:pPr>
              <w:pStyle w:val="50"/>
              <w:adjustRightInd w:val="0"/>
              <w:snapToGrid w:val="0"/>
              <w:spacing w:after="0" w:line="240" w:lineRule="auto"/>
              <w:jc w:val="left"/>
              <w:rPr>
                <w:color w:val="auto"/>
                <w:sz w:val="21"/>
                <w:szCs w:val="21"/>
              </w:rPr>
            </w:pPr>
            <w:r>
              <w:rPr>
                <w:color w:val="auto"/>
                <w:sz w:val="21"/>
                <w:szCs w:val="21"/>
              </w:rPr>
              <w:t xml:space="preserve">16.支持WEB方式或客户端方式访问和操作； </w:t>
            </w:r>
          </w:p>
          <w:p>
            <w:pPr>
              <w:pStyle w:val="50"/>
              <w:adjustRightInd w:val="0"/>
              <w:snapToGrid w:val="0"/>
              <w:spacing w:after="0" w:line="240" w:lineRule="auto"/>
              <w:jc w:val="left"/>
              <w:rPr>
                <w:color w:val="auto"/>
                <w:sz w:val="21"/>
                <w:szCs w:val="21"/>
              </w:rPr>
            </w:pPr>
            <w:r>
              <w:rPr>
                <w:color w:val="auto"/>
                <w:sz w:val="21"/>
                <w:szCs w:val="21"/>
              </w:rPr>
              <w:t xml:space="preserve">17.内置千兆交换机，具备4个千兆网口，支持链路聚合，支持NAT功能； </w:t>
            </w:r>
          </w:p>
          <w:p>
            <w:pPr>
              <w:pStyle w:val="50"/>
              <w:adjustRightInd w:val="0"/>
              <w:snapToGrid w:val="0"/>
              <w:spacing w:after="0" w:line="240" w:lineRule="auto"/>
              <w:jc w:val="left"/>
              <w:rPr>
                <w:color w:val="auto"/>
                <w:sz w:val="21"/>
                <w:szCs w:val="21"/>
              </w:rPr>
            </w:pPr>
            <w:r>
              <w:rPr>
                <w:color w:val="auto"/>
                <w:sz w:val="21"/>
                <w:szCs w:val="21"/>
              </w:rPr>
              <w:t xml:space="preserve">18.支持远程控制网络、数字视频的切换上墙； </w:t>
            </w:r>
          </w:p>
          <w:p>
            <w:pPr>
              <w:pStyle w:val="50"/>
              <w:adjustRightInd w:val="0"/>
              <w:snapToGrid w:val="0"/>
              <w:spacing w:after="0" w:line="240" w:lineRule="auto"/>
              <w:jc w:val="left"/>
              <w:rPr>
                <w:color w:val="auto"/>
                <w:sz w:val="21"/>
                <w:szCs w:val="21"/>
              </w:rPr>
            </w:pPr>
            <w:r>
              <w:rPr>
                <w:color w:val="auto"/>
                <w:sz w:val="21"/>
                <w:szCs w:val="21"/>
              </w:rPr>
              <w:t>19.支持远程获取和配置参数；</w:t>
            </w:r>
          </w:p>
          <w:p>
            <w:pPr>
              <w:pStyle w:val="50"/>
              <w:adjustRightInd w:val="0"/>
              <w:snapToGrid w:val="0"/>
              <w:spacing w:after="0" w:line="240" w:lineRule="auto"/>
              <w:jc w:val="left"/>
              <w:rPr>
                <w:bCs/>
                <w:color w:val="auto"/>
                <w:kern w:val="0"/>
                <w:szCs w:val="21"/>
              </w:rPr>
            </w:pPr>
            <w:r>
              <w:rPr>
                <w:color w:val="auto"/>
                <w:sz w:val="21"/>
                <w:szCs w:val="21"/>
              </w:rPr>
              <w:t>20.支持远程获取系统日志。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13</w:t>
            </w:r>
          </w:p>
        </w:tc>
        <w:tc>
          <w:tcPr>
            <w:tcW w:w="1134" w:type="dxa"/>
            <w:gridSpan w:val="2"/>
            <w:vAlign w:val="center"/>
          </w:tcPr>
          <w:p>
            <w:pPr>
              <w:widowControl/>
              <w:jc w:val="center"/>
              <w:rPr>
                <w:bCs/>
                <w:color w:val="auto"/>
                <w:kern w:val="0"/>
                <w:szCs w:val="21"/>
              </w:rPr>
            </w:pPr>
            <w:r>
              <w:rPr>
                <w:color w:val="auto"/>
                <w:kern w:val="0"/>
                <w:szCs w:val="21"/>
              </w:rPr>
              <w:t>解码卡</w:t>
            </w:r>
          </w:p>
        </w:tc>
        <w:tc>
          <w:tcPr>
            <w:tcW w:w="567" w:type="dxa"/>
            <w:vAlign w:val="center"/>
          </w:tcPr>
          <w:p>
            <w:pPr>
              <w:widowControl/>
              <w:jc w:val="center"/>
              <w:rPr>
                <w:bCs/>
                <w:color w:val="auto"/>
                <w:kern w:val="0"/>
                <w:szCs w:val="21"/>
              </w:rPr>
            </w:pPr>
            <w:r>
              <w:rPr>
                <w:color w:val="auto"/>
                <w:kern w:val="0"/>
                <w:szCs w:val="21"/>
              </w:rPr>
              <w:t>1张</w:t>
            </w:r>
          </w:p>
        </w:tc>
        <w:tc>
          <w:tcPr>
            <w:tcW w:w="7512" w:type="dxa"/>
            <w:vAlign w:val="center"/>
          </w:tcPr>
          <w:p>
            <w:pPr>
              <w:pStyle w:val="148"/>
              <w:ind w:firstLine="0" w:firstLineChars="0"/>
              <w:rPr>
                <w:rFonts w:ascii="Times New Roman" w:hAnsi="Times New Roman"/>
                <w:color w:val="auto"/>
                <w:szCs w:val="21"/>
              </w:rPr>
            </w:pPr>
            <w:r>
              <w:rPr>
                <w:rFonts w:ascii="Times New Roman" w:hAnsi="Times New Roman"/>
                <w:color w:val="auto"/>
                <w:szCs w:val="21"/>
              </w:rPr>
              <w:t>1.HDMI（奇数口）输出分辨率最高支持4K（3840*2160@30HZ）；</w:t>
            </w:r>
          </w:p>
          <w:p>
            <w:pPr>
              <w:pStyle w:val="148"/>
              <w:ind w:firstLine="0" w:firstLineChars="0"/>
              <w:rPr>
                <w:rFonts w:ascii="Times New Roman" w:hAnsi="Times New Roman"/>
                <w:color w:val="auto"/>
                <w:szCs w:val="21"/>
              </w:rPr>
            </w:pPr>
            <w:r>
              <w:rPr>
                <w:rFonts w:ascii="Times New Roman" w:hAnsi="Times New Roman"/>
                <w:color w:val="auto"/>
                <w:szCs w:val="21"/>
              </w:rPr>
              <w:t>2.支持H.265、H.264、MPEG4等主流的编码格式；</w:t>
            </w:r>
          </w:p>
          <w:p>
            <w:pPr>
              <w:pStyle w:val="50"/>
              <w:tabs>
                <w:tab w:val="left" w:pos="253"/>
              </w:tabs>
              <w:spacing w:after="0" w:line="240" w:lineRule="auto"/>
              <w:jc w:val="left"/>
              <w:rPr>
                <w:color w:val="auto"/>
                <w:sz w:val="21"/>
                <w:szCs w:val="21"/>
              </w:rPr>
            </w:pPr>
            <w:r>
              <w:rPr>
                <w:color w:val="auto"/>
                <w:sz w:val="21"/>
                <w:szCs w:val="21"/>
              </w:rPr>
              <w:t>3.图层叠加功能。支持将任意1路视频信号在显示屏的任意位置与其他视频信号叠加显示，图层可叠加18层，</w:t>
            </w:r>
            <w:r>
              <w:rPr>
                <w:rFonts w:hint="eastAsia"/>
                <w:color w:val="auto"/>
                <w:sz w:val="21"/>
                <w:szCs w:val="21"/>
              </w:rPr>
              <w:t>具有国家认定或国际认证的第三方检测机构出具的检测报告（提供复印件加盖供应商公章）</w:t>
            </w:r>
            <w:r>
              <w:rPr>
                <w:color w:val="auto"/>
                <w:sz w:val="21"/>
                <w:szCs w:val="21"/>
              </w:rPr>
              <w:t>；</w:t>
            </w:r>
          </w:p>
          <w:p>
            <w:pPr>
              <w:pStyle w:val="50"/>
              <w:tabs>
                <w:tab w:val="left" w:pos="253"/>
              </w:tabs>
              <w:spacing w:after="0" w:line="240" w:lineRule="auto"/>
              <w:jc w:val="left"/>
              <w:rPr>
                <w:bCs/>
                <w:color w:val="auto"/>
                <w:kern w:val="0"/>
                <w:szCs w:val="21"/>
              </w:rPr>
            </w:pPr>
            <w:r>
              <w:rPr>
                <w:color w:val="auto"/>
                <w:sz w:val="21"/>
                <w:szCs w:val="21"/>
              </w:rPr>
              <w:t xml:space="preserve">4.显示输出能力。可通过客户端软件设置HDMI接口输出分辨率为1280*1024 (60Hz)、1024*768 (60Hz)、1280*720 (60Hz)、1280*720 (50Hz)、1920* 1080 (50Hz)、1920*1080 (60Hz)、1600* 1 200 (60Hz)、1680*1050 (60Hz)、3840*2160(30Hz) </w:t>
            </w:r>
            <w:r>
              <w:rPr>
                <w:rFonts w:hint="eastAsia"/>
                <w:color w:val="auto"/>
                <w:sz w:val="21"/>
                <w:szCs w:val="21"/>
              </w:rPr>
              <w:t>具有国家认定或国际认证的第三方检测机构出具的检测报告（提供复印件加盖供应商公章）</w:t>
            </w:r>
            <w:r>
              <w:rPr>
                <w:color w:val="auto"/>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14</w:t>
            </w:r>
          </w:p>
        </w:tc>
        <w:tc>
          <w:tcPr>
            <w:tcW w:w="1134" w:type="dxa"/>
            <w:gridSpan w:val="2"/>
            <w:vAlign w:val="center"/>
          </w:tcPr>
          <w:p>
            <w:pPr>
              <w:widowControl/>
              <w:jc w:val="center"/>
              <w:rPr>
                <w:bCs/>
                <w:color w:val="auto"/>
                <w:kern w:val="0"/>
                <w:szCs w:val="21"/>
              </w:rPr>
            </w:pPr>
            <w:r>
              <w:rPr>
                <w:color w:val="auto"/>
                <w:kern w:val="0"/>
                <w:szCs w:val="21"/>
              </w:rPr>
              <w:t>电视墙主机（软件）</w:t>
            </w:r>
          </w:p>
        </w:tc>
        <w:tc>
          <w:tcPr>
            <w:tcW w:w="567" w:type="dxa"/>
            <w:vAlign w:val="center"/>
          </w:tcPr>
          <w:p>
            <w:pPr>
              <w:widowControl/>
              <w:jc w:val="center"/>
              <w:rPr>
                <w:bCs/>
                <w:color w:val="auto"/>
                <w:kern w:val="0"/>
                <w:szCs w:val="21"/>
              </w:rPr>
            </w:pPr>
            <w:r>
              <w:rPr>
                <w:color w:val="auto"/>
                <w:kern w:val="0"/>
                <w:szCs w:val="21"/>
              </w:rPr>
              <w:t>1套</w:t>
            </w:r>
          </w:p>
        </w:tc>
        <w:tc>
          <w:tcPr>
            <w:tcW w:w="7512" w:type="dxa"/>
            <w:vAlign w:val="top"/>
          </w:tcPr>
          <w:p>
            <w:pPr>
              <w:pStyle w:val="50"/>
              <w:tabs>
                <w:tab w:val="left" w:pos="253"/>
              </w:tabs>
              <w:spacing w:after="0" w:line="240" w:lineRule="auto"/>
              <w:jc w:val="left"/>
              <w:rPr>
                <w:bCs/>
                <w:color w:val="auto"/>
                <w:kern w:val="0"/>
                <w:szCs w:val="21"/>
              </w:rPr>
            </w:pPr>
            <w:r>
              <w:rPr>
                <w:color w:val="auto"/>
                <w:kern w:val="0"/>
                <w:sz w:val="21"/>
                <w:szCs w:val="21"/>
              </w:rPr>
              <w:t>1.符合《国家教育考试网上巡查系统视频标准技术规范（2017 版）》相关技术规范；</w:t>
            </w:r>
            <w:r>
              <w:rPr>
                <w:color w:val="auto"/>
                <w:kern w:val="0"/>
                <w:sz w:val="21"/>
                <w:szCs w:val="21"/>
              </w:rPr>
              <w:br w:type="textWrapping"/>
            </w:r>
            <w:r>
              <w:rPr>
                <w:color w:val="auto"/>
                <w:kern w:val="0"/>
                <w:sz w:val="21"/>
                <w:szCs w:val="21"/>
              </w:rPr>
              <w:t>2.支持高清解码矩阵/网络视频解码器和电视墙管理平台控制巡查图像以及设置巡查图像轮巡显示和编码通道上墙显示；</w:t>
            </w:r>
            <w:r>
              <w:rPr>
                <w:color w:val="auto"/>
                <w:kern w:val="0"/>
                <w:sz w:val="21"/>
                <w:szCs w:val="21"/>
              </w:rPr>
              <w:br w:type="textWrapping"/>
            </w:r>
            <w:r>
              <w:rPr>
                <w:color w:val="auto"/>
                <w:kern w:val="0"/>
                <w:sz w:val="21"/>
                <w:szCs w:val="21"/>
              </w:rPr>
              <w:t>3.分屏模式：电视墙管理平支持分屏模式包括 1 分屏、4 分屏、9 分屏、16 分屏；</w:t>
            </w:r>
            <w:r>
              <w:rPr>
                <w:color w:val="auto"/>
                <w:kern w:val="0"/>
                <w:sz w:val="21"/>
                <w:szCs w:val="21"/>
              </w:rPr>
              <w:br w:type="textWrapping"/>
            </w:r>
            <w:r>
              <w:rPr>
                <w:color w:val="auto"/>
                <w:kern w:val="0"/>
                <w:sz w:val="21"/>
                <w:szCs w:val="21"/>
              </w:rPr>
              <w:t>4.画面轮巡：支持高清解码矩阵/网络视频解码器设置多种自定义的巡查轮巡；支持电视墙管理平台多种自定义的巡查轮巡设置；</w:t>
            </w:r>
            <w:r>
              <w:rPr>
                <w:color w:val="auto"/>
                <w:kern w:val="0"/>
                <w:sz w:val="21"/>
                <w:szCs w:val="21"/>
              </w:rPr>
              <w:br w:type="textWrapping"/>
            </w:r>
            <w:r>
              <w:rPr>
                <w:color w:val="auto"/>
                <w:kern w:val="0"/>
                <w:sz w:val="21"/>
                <w:szCs w:val="21"/>
              </w:rPr>
              <w:t>5.轮巡模式：独立轮巡和组合轮巡，同步轮巡和异步轮巡，定点轮巡和定长轮巡；</w:t>
            </w:r>
            <w:r>
              <w:rPr>
                <w:color w:val="auto"/>
                <w:kern w:val="0"/>
                <w:sz w:val="21"/>
                <w:szCs w:val="21"/>
              </w:rPr>
              <w:br w:type="textWrapping"/>
            </w:r>
            <w:r>
              <w:rPr>
                <w:color w:val="auto"/>
                <w:kern w:val="0"/>
                <w:sz w:val="21"/>
                <w:szCs w:val="21"/>
              </w:rPr>
              <w:t>6.状态展示：支持显示当前受控设备的状态，包括：当前屏幕的布局信息、窗口获取的图像信息、窗口全屏、码流信息、音频开启标志等；</w:t>
            </w:r>
            <w:r>
              <w:rPr>
                <w:color w:val="auto"/>
                <w:kern w:val="0"/>
                <w:sz w:val="21"/>
                <w:szCs w:val="21"/>
              </w:rPr>
              <w:br w:type="textWrapping"/>
            </w:r>
            <w:r>
              <w:rPr>
                <w:color w:val="auto"/>
                <w:kern w:val="0"/>
                <w:sz w:val="21"/>
                <w:szCs w:val="21"/>
              </w:rPr>
              <w:t>7.方案控制：支持控制高清解码矩阵/网络视频解码器拉取图像和载入与保存方案等功能，可支持多种不同方案;支持电视墙管理平台拉取不同巡查图像，并设置巡查轮巡、屏幕融合、屏幕分割模式方案的功能；</w:t>
            </w:r>
            <w:r>
              <w:rPr>
                <w:color w:val="auto"/>
                <w:kern w:val="0"/>
                <w:sz w:val="21"/>
                <w:szCs w:val="21"/>
              </w:rPr>
              <w:br w:type="textWrapping"/>
            </w:r>
            <w:r>
              <w:rPr>
                <w:color w:val="auto"/>
                <w:kern w:val="0"/>
                <w:sz w:val="21"/>
                <w:szCs w:val="21"/>
              </w:rPr>
              <w:t xml:space="preserve">8.云台控制：可支持巡查云台设置方向、焦距、步长、自动旋转、左右边界以及预置点等功能； </w:t>
            </w:r>
            <w:r>
              <w:rPr>
                <w:color w:val="auto"/>
                <w:kern w:val="0"/>
                <w:sz w:val="21"/>
                <w:szCs w:val="21"/>
              </w:rPr>
              <w:br w:type="textWrapping"/>
            </w:r>
            <w:r>
              <w:rPr>
                <w:color w:val="auto"/>
                <w:kern w:val="0"/>
                <w:sz w:val="21"/>
                <w:szCs w:val="21"/>
              </w:rPr>
              <w:t>9.大屏融合：电视墙管理平台可进行屏幕随意排列融合大屏；</w:t>
            </w:r>
            <w:r>
              <w:rPr>
                <w:color w:val="auto"/>
                <w:kern w:val="0"/>
                <w:sz w:val="21"/>
                <w:szCs w:val="21"/>
              </w:rPr>
              <w:br w:type="textWrapping"/>
            </w:r>
            <w:r>
              <w:rPr>
                <w:color w:val="auto"/>
                <w:kern w:val="0"/>
                <w:sz w:val="21"/>
                <w:szCs w:val="21"/>
              </w:rPr>
              <w:t>10.报警功能：具有视频丢失检测报警，系统自诊断功能和网络中断报警，电视墙主机可以接收到平台发出的各种报警信息，进行上墙以及弹窗提示；支持报警联动；</w:t>
            </w:r>
            <w:r>
              <w:rPr>
                <w:color w:val="auto"/>
                <w:kern w:val="0"/>
                <w:sz w:val="21"/>
                <w:szCs w:val="21"/>
              </w:rPr>
              <w:br w:type="textWrapping"/>
            </w:r>
            <w:r>
              <w:rPr>
                <w:color w:val="auto"/>
                <w:kern w:val="0"/>
                <w:sz w:val="21"/>
                <w:szCs w:val="21"/>
              </w:rPr>
              <w:t>11.自由模式：支持控制电视墙管理平台设置屏幕自由组合模式，可以对单个屏幕自由开窗、放缩、漫游功能；</w:t>
            </w:r>
            <w:r>
              <w:rPr>
                <w:color w:val="auto"/>
                <w:kern w:val="0"/>
                <w:sz w:val="21"/>
                <w:szCs w:val="21"/>
              </w:rPr>
              <w:br w:type="textWrapping"/>
            </w:r>
            <w:r>
              <w:rPr>
                <w:rFonts w:hint="eastAsia" w:eastAsia="黑体"/>
                <w:b/>
                <w:color w:val="auto"/>
                <w:sz w:val="24"/>
                <w:szCs w:val="21"/>
              </w:rPr>
              <w:t>＃</w:t>
            </w:r>
            <w:r>
              <w:rPr>
                <w:color w:val="auto"/>
                <w:kern w:val="0"/>
                <w:sz w:val="21"/>
                <w:szCs w:val="21"/>
              </w:rPr>
              <w:t>12.支持控制器电视墙管理平台一键启用屏幕映射功能，可以把多个屏幕映射到窗口进行上墙控制，此模式下窗口为全屏显示，</w:t>
            </w:r>
            <w:r>
              <w:rPr>
                <w:rFonts w:hint="eastAsia"/>
                <w:color w:val="auto"/>
                <w:kern w:val="0"/>
                <w:sz w:val="21"/>
                <w:szCs w:val="21"/>
              </w:rPr>
              <w:t>具有国家认定或国际认证的第三方检测机构出具的检测报告（提供复印件加盖供应商公章）</w:t>
            </w:r>
            <w:r>
              <w:rPr>
                <w:color w:val="auto"/>
                <w:sz w:val="21"/>
                <w:szCs w:val="21"/>
              </w:rPr>
              <w:t>；</w:t>
            </w:r>
            <w:r>
              <w:rPr>
                <w:color w:val="auto"/>
                <w:kern w:val="0"/>
                <w:sz w:val="21"/>
                <w:szCs w:val="21"/>
              </w:rPr>
              <w:br w:type="textWrapping"/>
            </w:r>
            <w:r>
              <w:rPr>
                <w:color w:val="auto"/>
                <w:kern w:val="0"/>
                <w:sz w:val="21"/>
                <w:szCs w:val="21"/>
              </w:rPr>
              <w:t>13.加载列表：通过辅助工具生成历史数据，对此数据可以进行手动导入；</w:t>
            </w:r>
            <w:r>
              <w:rPr>
                <w:color w:val="auto"/>
                <w:kern w:val="0"/>
                <w:sz w:val="21"/>
                <w:szCs w:val="21"/>
              </w:rPr>
              <w:br w:type="textWrapping"/>
            </w:r>
            <w:r>
              <w:rPr>
                <w:color w:val="auto"/>
                <w:kern w:val="0"/>
                <w:sz w:val="21"/>
                <w:szCs w:val="21"/>
              </w:rPr>
              <w:t>14.搜索功能：对历史刷新以及导入的列表可以进行模糊搜索、精确定位；</w:t>
            </w:r>
            <w:r>
              <w:rPr>
                <w:color w:val="auto"/>
                <w:kern w:val="0"/>
                <w:sz w:val="21"/>
                <w:szCs w:val="21"/>
              </w:rPr>
              <w:br w:type="textWrapping"/>
            </w:r>
            <w:r>
              <w:rPr>
                <w:color w:val="auto"/>
                <w:kern w:val="0"/>
                <w:sz w:val="21"/>
                <w:szCs w:val="21"/>
              </w:rPr>
              <w:t>15.订制列表：支持手动自定义巡查列表，启用该列表可以进行获取轮巡上墙操作；</w:t>
            </w:r>
            <w:r>
              <w:rPr>
                <w:color w:val="auto"/>
                <w:kern w:val="0"/>
                <w:sz w:val="21"/>
                <w:szCs w:val="21"/>
              </w:rPr>
              <w:br w:type="textWrapping"/>
            </w:r>
            <w:r>
              <w:rPr>
                <w:color w:val="auto"/>
                <w:kern w:val="0"/>
                <w:sz w:val="21"/>
                <w:szCs w:val="21"/>
              </w:rPr>
              <w:t>16.视频预览功能：通过双击列表通道进行单路视频预览功能</w:t>
            </w:r>
            <w:r>
              <w:rPr>
                <w:color w:val="auto"/>
                <w:kern w:val="0"/>
                <w:szCs w:val="21"/>
              </w:rPr>
              <w:t>。</w:t>
            </w:r>
            <w:r>
              <w:rPr>
                <w:color w:val="auto"/>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15</w:t>
            </w:r>
          </w:p>
        </w:tc>
        <w:tc>
          <w:tcPr>
            <w:tcW w:w="1134" w:type="dxa"/>
            <w:gridSpan w:val="2"/>
            <w:vAlign w:val="center"/>
          </w:tcPr>
          <w:p>
            <w:pPr>
              <w:widowControl/>
              <w:jc w:val="center"/>
              <w:rPr>
                <w:bCs/>
                <w:color w:val="auto"/>
                <w:kern w:val="0"/>
                <w:szCs w:val="21"/>
              </w:rPr>
            </w:pPr>
            <w:r>
              <w:rPr>
                <w:color w:val="auto"/>
                <w:kern w:val="0"/>
                <w:szCs w:val="21"/>
              </w:rPr>
              <w:t>电视墙主机</w:t>
            </w:r>
          </w:p>
        </w:tc>
        <w:tc>
          <w:tcPr>
            <w:tcW w:w="567" w:type="dxa"/>
            <w:vAlign w:val="center"/>
          </w:tcPr>
          <w:p>
            <w:pPr>
              <w:widowControl/>
              <w:jc w:val="center"/>
              <w:rPr>
                <w:bCs/>
                <w:color w:val="auto"/>
                <w:kern w:val="0"/>
                <w:szCs w:val="21"/>
              </w:rPr>
            </w:pPr>
            <w:r>
              <w:rPr>
                <w:color w:val="auto"/>
                <w:kern w:val="0"/>
                <w:szCs w:val="21"/>
              </w:rPr>
              <w:t>1台</w:t>
            </w:r>
          </w:p>
        </w:tc>
        <w:tc>
          <w:tcPr>
            <w:tcW w:w="7512" w:type="dxa"/>
            <w:vAlign w:val="top"/>
          </w:tcPr>
          <w:p>
            <w:pPr>
              <w:rPr>
                <w:color w:val="auto"/>
                <w:szCs w:val="21"/>
              </w:rPr>
            </w:pPr>
            <w:r>
              <w:rPr>
                <w:color w:val="auto"/>
                <w:szCs w:val="21"/>
              </w:rPr>
              <w:t>1.CPU：Intel 酷睿六核 I7-9700或同等档次及以上；</w:t>
            </w:r>
          </w:p>
          <w:p>
            <w:pPr>
              <w:pStyle w:val="148"/>
              <w:ind w:firstLine="0" w:firstLineChars="0"/>
              <w:rPr>
                <w:rFonts w:ascii="Times New Roman" w:hAnsi="Times New Roman"/>
                <w:color w:val="auto"/>
                <w:szCs w:val="21"/>
              </w:rPr>
            </w:pPr>
            <w:r>
              <w:rPr>
                <w:rFonts w:ascii="Times New Roman" w:hAnsi="Times New Roman"/>
                <w:color w:val="auto"/>
                <w:position w:val="-2"/>
                <w:szCs w:val="21"/>
              </w:rPr>
              <w:t>2.</w:t>
            </w:r>
            <w:r>
              <w:rPr>
                <w:rFonts w:ascii="Times New Roman" w:hAnsi="Times New Roman"/>
                <w:color w:val="auto"/>
                <w:szCs w:val="21"/>
              </w:rPr>
              <w:t>主板：≥Intel 300 PCI系列同等档次及以上芯片组，具备BIOS底层集成智能USB技术（可实现对外接存储设备管理，防止非法U盘等接入），满足设备管理安全需求；</w:t>
            </w:r>
          </w:p>
          <w:p>
            <w:pPr>
              <w:rPr>
                <w:color w:val="auto"/>
                <w:szCs w:val="21"/>
              </w:rPr>
            </w:pPr>
            <w:r>
              <w:rPr>
                <w:color w:val="auto"/>
                <w:szCs w:val="21"/>
              </w:rPr>
              <w:t>3.内存：配置≥8G DDR4 ，内存槽位≥2条；</w:t>
            </w:r>
          </w:p>
          <w:p>
            <w:pPr>
              <w:rPr>
                <w:color w:val="auto"/>
                <w:szCs w:val="21"/>
              </w:rPr>
            </w:pPr>
            <w:r>
              <w:rPr>
                <w:color w:val="auto"/>
                <w:position w:val="-2"/>
                <w:szCs w:val="21"/>
              </w:rPr>
              <w:t>4.</w:t>
            </w:r>
            <w:r>
              <w:rPr>
                <w:color w:val="auto"/>
                <w:szCs w:val="21"/>
              </w:rPr>
              <w:t>硬盘：≥1000GB SATA3 7200rpm硬盘；</w:t>
            </w:r>
          </w:p>
          <w:p>
            <w:pPr>
              <w:rPr>
                <w:color w:val="auto"/>
                <w:szCs w:val="21"/>
              </w:rPr>
            </w:pPr>
            <w:r>
              <w:rPr>
                <w:color w:val="auto"/>
                <w:position w:val="-2"/>
                <w:szCs w:val="21"/>
              </w:rPr>
              <w:t>5</w:t>
            </w:r>
            <w:r>
              <w:rPr>
                <w:color w:val="auto"/>
                <w:szCs w:val="21"/>
              </w:rPr>
              <w:t>.接口：≥10个USB接口（至少6个USB 3.0接口</w:t>
            </w:r>
            <w:r>
              <w:rPr>
                <w:rFonts w:hint="eastAsia"/>
                <w:color w:val="auto"/>
                <w:szCs w:val="21"/>
              </w:rPr>
              <w:t>，</w:t>
            </w:r>
            <w:r>
              <w:rPr>
                <w:color w:val="auto"/>
                <w:szCs w:val="21"/>
              </w:rPr>
              <w:t>前置≥4个USB 3.0接口），PS/2接口，HDMI、VGA接口，可选多合一读卡器；</w:t>
            </w:r>
          </w:p>
          <w:p>
            <w:pPr>
              <w:rPr>
                <w:color w:val="auto"/>
                <w:szCs w:val="21"/>
              </w:rPr>
            </w:pPr>
            <w:r>
              <w:rPr>
                <w:color w:val="auto"/>
                <w:szCs w:val="21"/>
              </w:rPr>
              <w:t>6. 机箱：标准MATX立式机箱，小于16L，机箱具备防尘功能，等级不低于国际标准IP5X级；</w:t>
            </w:r>
          </w:p>
          <w:p>
            <w:pPr>
              <w:rPr>
                <w:color w:val="auto"/>
                <w:szCs w:val="21"/>
              </w:rPr>
            </w:pPr>
            <w:r>
              <w:rPr>
                <w:color w:val="auto"/>
                <w:szCs w:val="21"/>
              </w:rPr>
              <w:t>7. 电源：≤180W 节能电源；考虑到使用条件，要求投标产品在电压偏低、波动的恶劣供电条件下也可正常工作，须通过恶劣供电检验认证，可实现主板直流供电拉偏±6%，电源交流输入电压165V至265V；</w:t>
            </w:r>
          </w:p>
          <w:p>
            <w:pPr>
              <w:pStyle w:val="148"/>
              <w:ind w:firstLine="0" w:firstLineChars="0"/>
              <w:rPr>
                <w:color w:val="auto"/>
                <w:szCs w:val="21"/>
              </w:rPr>
            </w:pPr>
            <w:r>
              <w:rPr>
                <w:rFonts w:ascii="Times New Roman" w:hAnsi="Times New Roman"/>
                <w:color w:val="auto"/>
                <w:szCs w:val="21"/>
              </w:rPr>
              <w:t>8.考虑到实际使用环境，要求投标产品通过箱体封闭检验认证</w:t>
            </w:r>
            <w:r>
              <w:rPr>
                <w:rFonts w:hint="eastAsia" w:ascii="Times New Roman" w:hAnsi="Times New Roman"/>
                <w:color w:val="auto"/>
                <w:szCs w:val="21"/>
              </w:rPr>
              <w:t>，提供证明材料并加盖供应商公章</w:t>
            </w:r>
            <w:r>
              <w:rPr>
                <w:rFonts w:ascii="Times New Roman" w:hAnsi="Times New Roman"/>
                <w:color w:val="auto"/>
                <w:szCs w:val="21"/>
              </w:rPr>
              <w:t>；</w:t>
            </w:r>
          </w:p>
          <w:p>
            <w:pPr>
              <w:rPr>
                <w:color w:val="auto"/>
                <w:szCs w:val="21"/>
              </w:rPr>
            </w:pPr>
            <w:r>
              <w:rPr>
                <w:rFonts w:hint="eastAsia" w:eastAsia="黑体"/>
                <w:b/>
                <w:color w:val="auto"/>
                <w:sz w:val="24"/>
                <w:szCs w:val="21"/>
              </w:rPr>
              <w:t>＃</w:t>
            </w:r>
            <w:r>
              <w:rPr>
                <w:color w:val="auto"/>
                <w:szCs w:val="21"/>
              </w:rPr>
              <w:t xml:space="preserve">9.出厂预装主机同品牌云部署应用管理软件，不接收第三方插卡：                   </w:t>
            </w:r>
          </w:p>
          <w:p>
            <w:pPr>
              <w:rPr>
                <w:color w:val="auto"/>
                <w:szCs w:val="21"/>
              </w:rPr>
            </w:pPr>
            <w:r>
              <w:rPr>
                <w:color w:val="auto"/>
                <w:szCs w:val="21"/>
              </w:rPr>
              <w:t>通过ADS虚拟化实现所有的计算机终端集中统一管理；</w:t>
            </w:r>
          </w:p>
          <w:p>
            <w:pPr>
              <w:rPr>
                <w:color w:val="auto"/>
                <w:szCs w:val="21"/>
              </w:rPr>
            </w:pPr>
            <w:r>
              <w:rPr>
                <w:color w:val="auto"/>
                <w:szCs w:val="21"/>
              </w:rPr>
              <w:t>无需安装任何硬件，终端连上网络就可以启动进入各种Windows桌面云环境；</w:t>
            </w:r>
          </w:p>
          <w:p>
            <w:pPr>
              <w:rPr>
                <w:color w:val="auto"/>
                <w:szCs w:val="21"/>
              </w:rPr>
            </w:pPr>
            <w:r>
              <w:rPr>
                <w:color w:val="auto"/>
                <w:szCs w:val="21"/>
              </w:rPr>
              <w:t>断网和服务端宕机，终端都可以使用，不影响正常上课教学；</w:t>
            </w:r>
          </w:p>
          <w:p>
            <w:pPr>
              <w:rPr>
                <w:color w:val="auto"/>
                <w:szCs w:val="21"/>
              </w:rPr>
            </w:pPr>
            <w:r>
              <w:rPr>
                <w:color w:val="auto"/>
                <w:szCs w:val="21"/>
              </w:rPr>
              <w:t>不管客户端是关机或开机状态，系统都可以统一给所有客户端进行软件安装、删除等维护工作，并能不影响已经开机的客户端的正常使用，客户端开机或重启后就能使用新装软件和系统；</w:t>
            </w:r>
          </w:p>
          <w:p>
            <w:pPr>
              <w:rPr>
                <w:bCs/>
                <w:color w:val="auto"/>
                <w:kern w:val="0"/>
                <w:szCs w:val="21"/>
              </w:rPr>
            </w:pPr>
            <w:r>
              <w:rPr>
                <w:color w:val="auto"/>
                <w:szCs w:val="21"/>
              </w:rPr>
              <w:t>镜像库中的分区镜像可由任何系统调用，支持同一分区镜像供多个系统使用，达到分区共享目的，无论系统镜像如何变化，数据镜像可保持一致；服务端以扇区流的方式，将创建的虚拟硬盘模板真实的部署到客户端，实现与系统无关性，多个系统只需要一次部署就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16</w:t>
            </w:r>
          </w:p>
        </w:tc>
        <w:tc>
          <w:tcPr>
            <w:tcW w:w="1134" w:type="dxa"/>
            <w:gridSpan w:val="2"/>
            <w:vAlign w:val="center"/>
          </w:tcPr>
          <w:p>
            <w:pPr>
              <w:jc w:val="center"/>
              <w:rPr>
                <w:bCs/>
                <w:color w:val="auto"/>
                <w:kern w:val="0"/>
                <w:szCs w:val="21"/>
              </w:rPr>
            </w:pPr>
            <w:r>
              <w:rPr>
                <w:color w:val="auto"/>
                <w:kern w:val="0"/>
                <w:szCs w:val="21"/>
              </w:rPr>
              <w:t>身份验证终端</w:t>
            </w:r>
          </w:p>
        </w:tc>
        <w:tc>
          <w:tcPr>
            <w:tcW w:w="567" w:type="dxa"/>
            <w:vAlign w:val="center"/>
          </w:tcPr>
          <w:p>
            <w:pPr>
              <w:widowControl/>
              <w:jc w:val="center"/>
              <w:rPr>
                <w:bCs/>
                <w:color w:val="auto"/>
                <w:kern w:val="0"/>
                <w:szCs w:val="21"/>
              </w:rPr>
            </w:pPr>
            <w:r>
              <w:rPr>
                <w:rFonts w:hint="eastAsia"/>
                <w:color w:val="auto"/>
                <w:kern w:val="0"/>
                <w:szCs w:val="21"/>
              </w:rPr>
              <w:t>50</w:t>
            </w:r>
            <w:r>
              <w:rPr>
                <w:color w:val="auto"/>
                <w:kern w:val="0"/>
                <w:szCs w:val="21"/>
              </w:rPr>
              <w:t>台</w:t>
            </w:r>
          </w:p>
        </w:tc>
        <w:tc>
          <w:tcPr>
            <w:tcW w:w="7512" w:type="dxa"/>
            <w:vAlign w:val="top"/>
          </w:tcPr>
          <w:p>
            <w:pPr>
              <w:pStyle w:val="148"/>
              <w:ind w:firstLine="0" w:firstLineChars="0"/>
              <w:jc w:val="left"/>
              <w:rPr>
                <w:rFonts w:ascii="Times New Roman" w:hAnsi="Times New Roman"/>
                <w:color w:val="auto"/>
                <w:szCs w:val="21"/>
              </w:rPr>
            </w:pPr>
            <w:r>
              <w:rPr>
                <w:rFonts w:ascii="Times New Roman" w:hAnsi="Times New Roman"/>
                <w:color w:val="auto"/>
                <w:szCs w:val="21"/>
              </w:rPr>
              <w:t>1.设备应具有的操作性，整个操作流程具有语音操作提示，内置声光语音提示刷卡（读取二代证信息）、按指纹、拍照以及是否通过验证；设备即支持正面刷卡，也支持背面刷卡；</w:t>
            </w:r>
          </w:p>
          <w:p>
            <w:pPr>
              <w:pStyle w:val="148"/>
              <w:ind w:firstLine="0" w:firstLineChars="0"/>
              <w:jc w:val="left"/>
              <w:rPr>
                <w:rFonts w:ascii="Times New Roman" w:hAnsi="Times New Roman"/>
                <w:color w:val="auto"/>
                <w:szCs w:val="21"/>
              </w:rPr>
            </w:pPr>
            <w:r>
              <w:rPr>
                <w:rFonts w:ascii="Times New Roman" w:hAnsi="Times New Roman"/>
                <w:color w:val="auto"/>
                <w:szCs w:val="21"/>
              </w:rPr>
              <w:t>2.电池容量6500毫安；处理器4核，2g内存；8英寸IPS硬屏，800x1280；</w:t>
            </w:r>
          </w:p>
          <w:p>
            <w:pPr>
              <w:pStyle w:val="148"/>
              <w:ind w:firstLine="0" w:firstLineChars="0"/>
              <w:jc w:val="left"/>
              <w:rPr>
                <w:rFonts w:ascii="Times New Roman" w:hAnsi="Times New Roman"/>
                <w:color w:val="auto"/>
                <w:szCs w:val="21"/>
              </w:rPr>
            </w:pPr>
            <w:r>
              <w:rPr>
                <w:rFonts w:ascii="Times New Roman" w:hAnsi="Times New Roman"/>
                <w:color w:val="auto"/>
                <w:szCs w:val="21"/>
              </w:rPr>
              <w:t>3.内置1个USB接口、1个micro-USB接口、1个RJ45网口、1个TF扩充卡槽，1个3.5mm耳机插口，1个Micro HDMI接口；</w:t>
            </w:r>
          </w:p>
          <w:p>
            <w:pPr>
              <w:pStyle w:val="148"/>
              <w:ind w:firstLine="0" w:firstLineChars="0"/>
              <w:jc w:val="left"/>
              <w:rPr>
                <w:rFonts w:ascii="Times New Roman" w:hAnsi="Times New Roman"/>
                <w:color w:val="auto"/>
                <w:szCs w:val="21"/>
              </w:rPr>
            </w:pPr>
            <w:r>
              <w:rPr>
                <w:rFonts w:ascii="Times New Roman" w:hAnsi="Times New Roman"/>
                <w:color w:val="auto"/>
                <w:szCs w:val="21"/>
              </w:rPr>
              <w:t>4.由居民身份证阅读模块、指纹模块、拍照模块，一体化封装、无需外接任何设备即可独立完成验证工作；</w:t>
            </w:r>
          </w:p>
          <w:p>
            <w:pPr>
              <w:pStyle w:val="148"/>
              <w:ind w:firstLine="0" w:firstLineChars="0"/>
              <w:jc w:val="left"/>
              <w:rPr>
                <w:rFonts w:ascii="Times New Roman" w:hAnsi="Times New Roman"/>
                <w:color w:val="auto"/>
                <w:szCs w:val="21"/>
              </w:rPr>
            </w:pPr>
            <w:r>
              <w:rPr>
                <w:rFonts w:ascii="Times New Roman" w:hAnsi="Times New Roman"/>
                <w:color w:val="auto"/>
                <w:szCs w:val="21"/>
              </w:rPr>
              <w:t>5.支持身份证效验，可同时显示考生身份证照片和考生报名照片，由系统或者监考老师进行比对；支持指纹验证，提取考生指纹信息与系统内考生指纹对比，语音提示比对结果；</w:t>
            </w:r>
          </w:p>
          <w:p>
            <w:pPr>
              <w:pStyle w:val="148"/>
              <w:ind w:firstLine="0" w:firstLineChars="0"/>
              <w:jc w:val="left"/>
              <w:rPr>
                <w:rFonts w:ascii="Times New Roman" w:hAnsi="Times New Roman"/>
                <w:color w:val="auto"/>
                <w:szCs w:val="21"/>
              </w:rPr>
            </w:pPr>
            <w:r>
              <w:rPr>
                <w:rFonts w:ascii="Times New Roman" w:hAnsi="Times New Roman"/>
                <w:color w:val="auto"/>
                <w:szCs w:val="21"/>
              </w:rPr>
              <w:t>6.身份证读取区和指纹采集区均采用正面前置设计，身份证读卡区有显著图文标识；</w:t>
            </w:r>
          </w:p>
          <w:p>
            <w:pPr>
              <w:pStyle w:val="148"/>
              <w:ind w:firstLine="0" w:firstLineChars="0"/>
              <w:jc w:val="left"/>
              <w:rPr>
                <w:rFonts w:ascii="Times New Roman" w:hAnsi="Times New Roman"/>
                <w:color w:val="auto"/>
                <w:szCs w:val="21"/>
              </w:rPr>
            </w:pPr>
            <w:r>
              <w:rPr>
                <w:rFonts w:ascii="Times New Roman" w:hAnsi="Times New Roman"/>
                <w:color w:val="auto"/>
                <w:szCs w:val="21"/>
              </w:rPr>
              <w:t>7.支持考生和验证数据通过介质和网络（有线和WIFI）导入、导出和实时上传；支持脱机工作方式即不接PC、不接电源。</w:t>
            </w:r>
            <w:r>
              <w:rPr>
                <w:rFonts w:hint="eastAsia"/>
                <w:color w:val="auto"/>
                <w:kern w:val="0"/>
                <w:szCs w:val="21"/>
              </w:rPr>
              <w:t>具有国家认定或国际认证的第三方检测机构出具的检测报告（提供复印件加盖供应商公章）</w:t>
            </w:r>
            <w:r>
              <w:rPr>
                <w:rFonts w:ascii="Times New Roman" w:hAnsi="Times New Roman"/>
                <w:color w:val="auto"/>
                <w:szCs w:val="21"/>
              </w:rPr>
              <w:t>；</w:t>
            </w:r>
          </w:p>
          <w:p>
            <w:pPr>
              <w:pStyle w:val="148"/>
              <w:ind w:firstLine="0" w:firstLineChars="0"/>
              <w:jc w:val="left"/>
              <w:rPr>
                <w:rFonts w:ascii="Times New Roman" w:hAnsi="Times New Roman"/>
                <w:color w:val="auto"/>
                <w:szCs w:val="21"/>
              </w:rPr>
            </w:pPr>
            <w:r>
              <w:rPr>
                <w:rFonts w:ascii="Times New Roman" w:hAnsi="Times New Roman"/>
                <w:color w:val="auto"/>
                <w:szCs w:val="21"/>
              </w:rPr>
              <w:t>8.半导体电容式传感器，符合GA/T-1011-2012标准，支持活体识别，支持360度采集。能有效杜绝指纹膜作弊替考行为；</w:t>
            </w:r>
          </w:p>
          <w:p>
            <w:pPr>
              <w:pStyle w:val="148"/>
              <w:ind w:firstLine="0" w:firstLineChars="0"/>
              <w:jc w:val="left"/>
              <w:rPr>
                <w:rFonts w:ascii="Times New Roman" w:hAnsi="Times New Roman"/>
                <w:color w:val="auto"/>
                <w:szCs w:val="21"/>
              </w:rPr>
            </w:pPr>
            <w:r>
              <w:rPr>
                <w:rFonts w:ascii="Times New Roman" w:hAnsi="Times New Roman"/>
                <w:color w:val="auto"/>
                <w:szCs w:val="21"/>
              </w:rPr>
              <w:t>9.支持不同手指，如干手指、汗手指、湿手指、浅指纹、半径2mm以内的破损手指的适应能力；</w:t>
            </w:r>
          </w:p>
          <w:p>
            <w:pPr>
              <w:pStyle w:val="148"/>
              <w:ind w:firstLine="0" w:firstLineChars="0"/>
              <w:jc w:val="left"/>
              <w:rPr>
                <w:rFonts w:ascii="Times New Roman" w:hAnsi="Times New Roman"/>
                <w:color w:val="auto"/>
                <w:szCs w:val="21"/>
              </w:rPr>
            </w:pPr>
            <w:r>
              <w:rPr>
                <w:rFonts w:ascii="Times New Roman" w:hAnsi="Times New Roman"/>
                <w:color w:val="auto"/>
                <w:szCs w:val="21"/>
              </w:rPr>
              <w:t>10.身份验证终端验证过程中，应具有语音或文字的指导性提示；</w:t>
            </w:r>
          </w:p>
          <w:p>
            <w:pPr>
              <w:pStyle w:val="148"/>
              <w:ind w:firstLine="0" w:firstLineChars="0"/>
              <w:jc w:val="left"/>
              <w:rPr>
                <w:rFonts w:ascii="Times New Roman" w:hAnsi="Times New Roman"/>
                <w:color w:val="auto"/>
                <w:szCs w:val="21"/>
              </w:rPr>
            </w:pPr>
            <w:r>
              <w:rPr>
                <w:rFonts w:ascii="Times New Roman" w:hAnsi="Times New Roman"/>
                <w:color w:val="auto"/>
                <w:szCs w:val="21"/>
              </w:rPr>
              <w:t>11.支持TTS技术，可实现对考生的精准确认，</w:t>
            </w:r>
            <w:r>
              <w:rPr>
                <w:rFonts w:hint="eastAsia"/>
                <w:color w:val="auto"/>
                <w:kern w:val="0"/>
                <w:szCs w:val="21"/>
              </w:rPr>
              <w:t>具有国家认定或国际认证的第三方检测机构出具的检测报告（提供复印件加盖供应商公章）</w:t>
            </w:r>
            <w:r>
              <w:rPr>
                <w:rFonts w:ascii="Times New Roman" w:hAnsi="Times New Roman"/>
                <w:color w:val="auto"/>
                <w:kern w:val="0"/>
                <w:szCs w:val="21"/>
              </w:rPr>
              <w:t>；</w:t>
            </w:r>
          </w:p>
          <w:p>
            <w:pPr>
              <w:pStyle w:val="148"/>
              <w:ind w:firstLine="0" w:firstLineChars="0"/>
              <w:jc w:val="left"/>
              <w:rPr>
                <w:rFonts w:ascii="Times New Roman" w:hAnsi="Times New Roman"/>
                <w:color w:val="auto"/>
                <w:szCs w:val="21"/>
              </w:rPr>
            </w:pPr>
            <w:r>
              <w:rPr>
                <w:rFonts w:ascii="Times New Roman" w:hAnsi="Times New Roman"/>
                <w:color w:val="auto"/>
                <w:szCs w:val="21"/>
              </w:rPr>
              <w:t>12.设备具有数据查询功能，通过授权帐号，可进入系统查询界面，查询考生的验证情况（通过、未通过、缺考等），整个考生数据在设备断电下，不会丢失。</w:t>
            </w:r>
          </w:p>
          <w:p>
            <w:pPr>
              <w:pStyle w:val="148"/>
              <w:ind w:firstLine="0" w:firstLineChars="0"/>
              <w:jc w:val="left"/>
              <w:rPr>
                <w:rFonts w:ascii="Times New Roman" w:hAnsi="Times New Roman"/>
                <w:color w:val="auto"/>
                <w:szCs w:val="21"/>
              </w:rPr>
            </w:pPr>
            <w:r>
              <w:rPr>
                <w:rFonts w:ascii="Times New Roman" w:hAnsi="Times New Roman"/>
                <w:color w:val="auto"/>
                <w:szCs w:val="21"/>
              </w:rPr>
              <w:t>13.前、后置500万像素摄像头，可切换，便于多种情景下由监考老师拍照或考生自拍。</w:t>
            </w:r>
          </w:p>
          <w:p>
            <w:pPr>
              <w:pStyle w:val="148"/>
              <w:ind w:firstLine="0" w:firstLineChars="0"/>
              <w:jc w:val="left"/>
              <w:rPr>
                <w:rFonts w:ascii="Times New Roman" w:hAnsi="Times New Roman"/>
                <w:color w:val="auto"/>
                <w:szCs w:val="21"/>
              </w:rPr>
            </w:pPr>
            <w:r>
              <w:rPr>
                <w:rFonts w:hint="eastAsia" w:ascii="Times New Roman" w:hAnsi="Times New Roman" w:eastAsia="黑体"/>
                <w:b/>
                <w:color w:val="auto"/>
                <w:sz w:val="24"/>
                <w:szCs w:val="21"/>
              </w:rPr>
              <w:t>＃</w:t>
            </w:r>
            <w:r>
              <w:rPr>
                <w:rFonts w:ascii="Times New Roman" w:hAnsi="Times New Roman"/>
                <w:color w:val="auto"/>
                <w:szCs w:val="21"/>
              </w:rPr>
              <w:t>14.对采集的指纹、人脸图像进行质量判断，对不合格的图像自动提示，自动重采。包括指纹清晰度、指纹面积大小、人脸数量、模糊情况、正脸情况、头部情况、高光、眼睛睁闭、眼睛注视镜头等，</w:t>
            </w:r>
            <w:r>
              <w:rPr>
                <w:rFonts w:hint="eastAsia"/>
                <w:color w:val="auto"/>
                <w:kern w:val="0"/>
                <w:szCs w:val="21"/>
              </w:rPr>
              <w:t>具有国家认定或国际认证的第三方检测机构出具的检测报告（提供复印件加盖供应商公章）</w:t>
            </w:r>
            <w:r>
              <w:rPr>
                <w:rFonts w:ascii="Times New Roman" w:hAnsi="Times New Roman"/>
                <w:color w:val="auto"/>
                <w:kern w:val="0"/>
                <w:szCs w:val="21"/>
              </w:rPr>
              <w:t>；</w:t>
            </w:r>
          </w:p>
          <w:p>
            <w:pPr>
              <w:pStyle w:val="148"/>
              <w:ind w:firstLine="0" w:firstLineChars="0"/>
              <w:jc w:val="left"/>
              <w:rPr>
                <w:rFonts w:ascii="Times New Roman" w:hAnsi="Times New Roman"/>
                <w:color w:val="auto"/>
                <w:szCs w:val="21"/>
              </w:rPr>
            </w:pPr>
            <w:r>
              <w:rPr>
                <w:rFonts w:ascii="Times New Roman" w:hAnsi="Times New Roman"/>
                <w:color w:val="auto"/>
                <w:szCs w:val="21"/>
              </w:rPr>
              <w:t>15.支持系统平台统一设置验证设备验证流程，验证设备可按照预设的流程自动工作，不需额外操作；</w:t>
            </w:r>
          </w:p>
          <w:p>
            <w:pPr>
              <w:pStyle w:val="148"/>
              <w:ind w:firstLine="0" w:firstLineChars="0"/>
              <w:jc w:val="left"/>
              <w:rPr>
                <w:rFonts w:ascii="Times New Roman" w:hAnsi="Times New Roman"/>
                <w:color w:val="auto"/>
                <w:szCs w:val="21"/>
              </w:rPr>
            </w:pPr>
            <w:r>
              <w:rPr>
                <w:rFonts w:ascii="Times New Roman" w:hAnsi="Times New Roman"/>
                <w:color w:val="auto"/>
                <w:szCs w:val="21"/>
              </w:rPr>
              <w:t>16.身份验证终端具备时间同步功能，可以实现与网络时间同步或者与上级服务器时间同步；</w:t>
            </w:r>
          </w:p>
          <w:p>
            <w:pPr>
              <w:pStyle w:val="148"/>
              <w:ind w:firstLine="0" w:firstLineChars="0"/>
              <w:jc w:val="left"/>
              <w:rPr>
                <w:rFonts w:ascii="Times New Roman" w:hAnsi="Times New Roman"/>
                <w:color w:val="auto"/>
                <w:szCs w:val="21"/>
              </w:rPr>
            </w:pPr>
            <w:r>
              <w:rPr>
                <w:rFonts w:ascii="Times New Roman" w:hAnsi="Times New Roman"/>
                <w:color w:val="auto"/>
                <w:szCs w:val="21"/>
              </w:rPr>
              <w:t>17.可在验证终端上进行实时人脸比对，通过现场考生人像与其报名采集照片或身份证芯片内照片进行人脸比对；</w:t>
            </w:r>
          </w:p>
          <w:p>
            <w:pPr>
              <w:pStyle w:val="148"/>
              <w:ind w:firstLine="0" w:firstLineChars="0"/>
              <w:jc w:val="left"/>
              <w:rPr>
                <w:rFonts w:ascii="Times New Roman" w:hAnsi="Times New Roman"/>
                <w:color w:val="auto"/>
                <w:szCs w:val="21"/>
              </w:rPr>
            </w:pPr>
            <w:r>
              <w:rPr>
                <w:rFonts w:ascii="Times New Roman" w:hAnsi="Times New Roman"/>
                <w:color w:val="auto"/>
                <w:szCs w:val="21"/>
              </w:rPr>
              <w:t>18.可通过刷身份证调取考生信息进行验证，在没有身份证或身份证消磁的情况下，应可通过输入身份证号、考号或点击界面座次图上的座位号快速获取到考生信息进入验证；</w:t>
            </w:r>
          </w:p>
          <w:p>
            <w:pPr>
              <w:pStyle w:val="148"/>
              <w:ind w:firstLine="0" w:firstLineChars="0"/>
              <w:jc w:val="left"/>
              <w:rPr>
                <w:rFonts w:ascii="Times New Roman" w:hAnsi="Times New Roman"/>
                <w:color w:val="auto"/>
                <w:szCs w:val="21"/>
              </w:rPr>
            </w:pPr>
            <w:r>
              <w:rPr>
                <w:rFonts w:ascii="Times New Roman" w:hAnsi="Times New Roman"/>
                <w:color w:val="auto"/>
                <w:szCs w:val="21"/>
              </w:rPr>
              <w:t>19.内置多种验证流程，可根据不同考试组织形式自动选用适合的验证流程，无需人工操作，</w:t>
            </w:r>
            <w:r>
              <w:rPr>
                <w:rFonts w:hint="eastAsia"/>
                <w:color w:val="auto"/>
                <w:kern w:val="0"/>
                <w:szCs w:val="21"/>
              </w:rPr>
              <w:t>具有国家认定或国际认证的第三方检测机构出具的检测报告（提供复印件加盖供应商公章）</w:t>
            </w:r>
            <w:r>
              <w:rPr>
                <w:rFonts w:ascii="Times New Roman" w:hAnsi="Times New Roman"/>
                <w:color w:val="auto"/>
                <w:kern w:val="0"/>
                <w:szCs w:val="21"/>
              </w:rPr>
              <w:t>；</w:t>
            </w:r>
          </w:p>
          <w:p>
            <w:pPr>
              <w:pStyle w:val="148"/>
              <w:ind w:firstLine="0" w:firstLineChars="0"/>
              <w:jc w:val="left"/>
              <w:rPr>
                <w:rFonts w:ascii="Times New Roman" w:hAnsi="Times New Roman"/>
                <w:color w:val="auto"/>
                <w:szCs w:val="21"/>
              </w:rPr>
            </w:pPr>
            <w:r>
              <w:rPr>
                <w:rFonts w:ascii="Times New Roman" w:hAnsi="Times New Roman"/>
                <w:color w:val="auto"/>
                <w:szCs w:val="21"/>
              </w:rPr>
              <w:t>20.具备多种节能策略，延长设备使用时间；</w:t>
            </w:r>
          </w:p>
          <w:p>
            <w:pPr>
              <w:rPr>
                <w:bCs/>
                <w:color w:val="auto"/>
                <w:kern w:val="0"/>
                <w:szCs w:val="21"/>
              </w:rPr>
            </w:pPr>
            <w:r>
              <w:rPr>
                <w:color w:val="auto"/>
                <w:szCs w:val="21"/>
              </w:rPr>
              <w:t>21.指定的身份信息数据存储格式，可存储大于10000枚指纹信息，可存储大于10000条考生数据（考生基本信息、报名照片、身份证照片等），可存储大于100000条验证记录。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17</w:t>
            </w:r>
          </w:p>
        </w:tc>
        <w:tc>
          <w:tcPr>
            <w:tcW w:w="1134" w:type="dxa"/>
            <w:gridSpan w:val="2"/>
            <w:vAlign w:val="center"/>
          </w:tcPr>
          <w:p>
            <w:pPr>
              <w:widowControl/>
              <w:jc w:val="center"/>
              <w:rPr>
                <w:bCs/>
                <w:color w:val="auto"/>
                <w:kern w:val="0"/>
                <w:szCs w:val="21"/>
              </w:rPr>
            </w:pPr>
            <w:r>
              <w:rPr>
                <w:color w:val="auto"/>
                <w:kern w:val="0"/>
                <w:szCs w:val="21"/>
              </w:rPr>
              <w:t>身份验证系统</w:t>
            </w:r>
          </w:p>
        </w:tc>
        <w:tc>
          <w:tcPr>
            <w:tcW w:w="567" w:type="dxa"/>
            <w:vAlign w:val="center"/>
          </w:tcPr>
          <w:p>
            <w:pPr>
              <w:widowControl/>
              <w:jc w:val="center"/>
              <w:rPr>
                <w:bCs/>
                <w:color w:val="auto"/>
                <w:kern w:val="0"/>
                <w:szCs w:val="21"/>
              </w:rPr>
            </w:pPr>
            <w:r>
              <w:rPr>
                <w:color w:val="auto"/>
                <w:kern w:val="0"/>
                <w:szCs w:val="21"/>
              </w:rPr>
              <w:t>1套</w:t>
            </w:r>
          </w:p>
        </w:tc>
        <w:tc>
          <w:tcPr>
            <w:tcW w:w="7512" w:type="dxa"/>
            <w:vAlign w:val="top"/>
          </w:tcPr>
          <w:p>
            <w:pPr>
              <w:widowControl/>
              <w:jc w:val="left"/>
              <w:rPr>
                <w:color w:val="auto"/>
                <w:kern w:val="0"/>
                <w:szCs w:val="21"/>
              </w:rPr>
            </w:pPr>
            <w:r>
              <w:rPr>
                <w:color w:val="auto"/>
                <w:kern w:val="0"/>
                <w:szCs w:val="21"/>
              </w:rPr>
              <w:t>1.注册管理</w:t>
            </w:r>
            <w:r>
              <w:rPr>
                <w:color w:val="auto"/>
                <w:kern w:val="0"/>
                <w:szCs w:val="21"/>
              </w:rPr>
              <w:br w:type="textWrapping"/>
            </w:r>
            <w:r>
              <w:rPr>
                <w:color w:val="auto"/>
                <w:kern w:val="0"/>
                <w:szCs w:val="21"/>
              </w:rPr>
              <w:t>系统的管理人员可以对本考点管理数据进行新增，编辑，删除。本级用户注册到上级服务器，从上级同步本机区域信息，同步后本级不在对地区信息进行维护。</w:t>
            </w:r>
            <w:r>
              <w:rPr>
                <w:color w:val="auto"/>
                <w:kern w:val="0"/>
                <w:szCs w:val="21"/>
              </w:rPr>
              <w:br w:type="textWrapping"/>
            </w:r>
            <w:r>
              <w:rPr>
                <w:color w:val="auto"/>
                <w:kern w:val="0"/>
                <w:szCs w:val="21"/>
              </w:rPr>
              <w:t>2.机构管理</w:t>
            </w:r>
            <w:r>
              <w:rPr>
                <w:color w:val="auto"/>
                <w:kern w:val="0"/>
                <w:szCs w:val="21"/>
              </w:rPr>
              <w:br w:type="textWrapping"/>
            </w:r>
            <w:r>
              <w:rPr>
                <w:color w:val="auto"/>
                <w:kern w:val="0"/>
                <w:szCs w:val="21"/>
              </w:rPr>
              <w:t>考生采集和考生验证都可通过平台整体管理，根据平台的时间及区域控制考生采集和考生验证的时间等，所有数据（编排数据、验证数据）下发及上传也可通过时间控制及区域权限控制进行统一操作。</w:t>
            </w:r>
            <w:r>
              <w:rPr>
                <w:color w:val="auto"/>
                <w:kern w:val="0"/>
                <w:szCs w:val="21"/>
              </w:rPr>
              <w:br w:type="textWrapping"/>
            </w:r>
            <w:r>
              <w:rPr>
                <w:color w:val="auto"/>
                <w:kern w:val="0"/>
                <w:szCs w:val="21"/>
              </w:rPr>
              <w:t>3.用户管理</w:t>
            </w:r>
            <w:r>
              <w:rPr>
                <w:color w:val="auto"/>
                <w:kern w:val="0"/>
                <w:szCs w:val="21"/>
              </w:rPr>
              <w:br w:type="textWrapping"/>
            </w:r>
            <w:r>
              <w:rPr>
                <w:color w:val="auto"/>
                <w:kern w:val="0"/>
                <w:szCs w:val="21"/>
              </w:rPr>
              <w:t>对于本级平台所有设备的账号、权限等功能管理，同时可管理向上级注册的账户信息。</w:t>
            </w:r>
            <w:r>
              <w:rPr>
                <w:color w:val="auto"/>
                <w:kern w:val="0"/>
                <w:szCs w:val="21"/>
              </w:rPr>
              <w:br w:type="textWrapping"/>
            </w:r>
            <w:r>
              <w:rPr>
                <w:color w:val="auto"/>
                <w:kern w:val="0"/>
                <w:szCs w:val="21"/>
              </w:rPr>
              <w:t>4.考试管理</w:t>
            </w:r>
            <w:r>
              <w:rPr>
                <w:color w:val="auto"/>
                <w:kern w:val="0"/>
                <w:szCs w:val="21"/>
              </w:rPr>
              <w:br w:type="textWrapping"/>
            </w:r>
            <w:r>
              <w:rPr>
                <w:color w:val="auto"/>
                <w:kern w:val="0"/>
                <w:szCs w:val="21"/>
              </w:rPr>
              <w:t>对考试场次的管理，将考试场次与导入的考生数据进行关联，确定考生参加的场次。</w:t>
            </w:r>
            <w:r>
              <w:rPr>
                <w:color w:val="auto"/>
                <w:kern w:val="0"/>
                <w:szCs w:val="21"/>
              </w:rPr>
              <w:br w:type="textWrapping"/>
            </w:r>
            <w:r>
              <w:rPr>
                <w:color w:val="auto"/>
                <w:kern w:val="0"/>
                <w:szCs w:val="21"/>
              </w:rPr>
              <w:t>5.对考试类型的管理，可根据各类考试添加或删除考试类型，如高考、成考、英语四六级考试、其它社会考试等。</w:t>
            </w:r>
            <w:r>
              <w:rPr>
                <w:color w:val="auto"/>
                <w:kern w:val="0"/>
                <w:szCs w:val="21"/>
              </w:rPr>
              <w:br w:type="textWrapping"/>
            </w:r>
            <w:r>
              <w:rPr>
                <w:color w:val="auto"/>
                <w:kern w:val="0"/>
                <w:szCs w:val="21"/>
              </w:rPr>
              <w:t>6.采集数据管理</w:t>
            </w:r>
            <w:r>
              <w:rPr>
                <w:color w:val="auto"/>
                <w:kern w:val="0"/>
                <w:szCs w:val="21"/>
              </w:rPr>
              <w:br w:type="textWrapping"/>
            </w:r>
            <w:r>
              <w:rPr>
                <w:color w:val="auto"/>
                <w:kern w:val="0"/>
                <w:szCs w:val="21"/>
              </w:rPr>
              <w:t>数据采集终端将采集的考生证件信息、面相信息和指纹信息通过网络直接上传或者通过移动介质上传到上级服务器平台，上传的数据文件是经过加密处理后的数据。</w:t>
            </w:r>
            <w:r>
              <w:rPr>
                <w:color w:val="auto"/>
                <w:kern w:val="0"/>
                <w:szCs w:val="21"/>
              </w:rPr>
              <w:br w:type="textWrapping"/>
            </w:r>
            <w:r>
              <w:rPr>
                <w:color w:val="auto"/>
                <w:kern w:val="0"/>
                <w:szCs w:val="21"/>
              </w:rPr>
              <w:t>7.平台可统一控制各下属报名采集点的采集时间、采集流程、采集指位设备以及包括考生补采项等。</w:t>
            </w:r>
            <w:r>
              <w:rPr>
                <w:color w:val="auto"/>
                <w:kern w:val="0"/>
                <w:szCs w:val="21"/>
              </w:rPr>
              <w:br w:type="textWrapping"/>
            </w:r>
            <w:r>
              <w:rPr>
                <w:color w:val="auto"/>
                <w:kern w:val="0"/>
                <w:szCs w:val="21"/>
              </w:rPr>
              <w:t>8.管理功能：</w:t>
            </w:r>
          </w:p>
          <w:p>
            <w:pPr>
              <w:widowControl/>
              <w:jc w:val="left"/>
              <w:rPr>
                <w:color w:val="auto"/>
                <w:kern w:val="0"/>
                <w:szCs w:val="21"/>
              </w:rPr>
            </w:pPr>
            <w:r>
              <w:rPr>
                <w:color w:val="auto"/>
                <w:kern w:val="0"/>
                <w:szCs w:val="21"/>
              </w:rPr>
              <w:t>8.1采集数据统计管理，系统可自动统计考生采集进度、采集情况，统计内容包含指纹采集信息、身份证采集信息、人脸照片情况等信息，并对统计的采集数据生成统计图或者统计报表提供具有国家认定或国际认证的检测机构出具的检测报告（提供复印件并加盖</w:t>
            </w:r>
            <w:r>
              <w:rPr>
                <w:rFonts w:hint="eastAsia"/>
                <w:color w:val="auto"/>
                <w:kern w:val="0"/>
                <w:szCs w:val="21"/>
              </w:rPr>
              <w:t>供应商</w:t>
            </w:r>
            <w:r>
              <w:rPr>
                <w:color w:val="auto"/>
                <w:kern w:val="0"/>
                <w:szCs w:val="21"/>
              </w:rPr>
              <w:t>公章）。</w:t>
            </w:r>
            <w:r>
              <w:rPr>
                <w:color w:val="auto"/>
                <w:kern w:val="0"/>
                <w:szCs w:val="21"/>
              </w:rPr>
              <w:br w:type="textWrapping"/>
            </w:r>
            <w:r>
              <w:rPr>
                <w:color w:val="auto"/>
                <w:kern w:val="0"/>
                <w:szCs w:val="21"/>
              </w:rPr>
              <w:t>对考生的采集数据进行数据编排，或者由用户原有的编排系统进行数据编排，平台将编排好的数据导入到平台数据库中存储。</w:t>
            </w:r>
            <w:r>
              <w:rPr>
                <w:color w:val="auto"/>
                <w:kern w:val="0"/>
                <w:szCs w:val="21"/>
              </w:rPr>
              <w:br w:type="textWrapping"/>
            </w:r>
            <w:r>
              <w:rPr>
                <w:color w:val="auto"/>
                <w:kern w:val="0"/>
                <w:szCs w:val="21"/>
              </w:rPr>
              <w:t>提供数据下载接口，在系统完成考生数据与考场编排数据关联之后，用户通过网络主动从上级服务器下载辖区内的考生数据。数据下载时自动按考点编号或考区编号下载本区域内所有考生的身份数据。</w:t>
            </w:r>
          </w:p>
          <w:p>
            <w:pPr>
              <w:widowControl/>
              <w:jc w:val="left"/>
              <w:rPr>
                <w:color w:val="auto"/>
                <w:szCs w:val="21"/>
              </w:rPr>
            </w:pPr>
            <w:r>
              <w:rPr>
                <w:color w:val="auto"/>
                <w:kern w:val="0"/>
                <w:szCs w:val="21"/>
              </w:rPr>
              <w:t>8.2验证数据上传：验证数据上传支持实时（网络上传）与非实时（移动介质上传）两种模式。实时验证结果上传：需要验证终端设备在考生进入考场时，通过网络实时上传考生的验证结果。（实时信息可以仅包括通过状态等信息）非实时验证结果上传：在验证结束后统一通过U盘或网络提交上传所有考生信息，包括未通过验证考生指纹信息。</w:t>
            </w:r>
          </w:p>
          <w:p>
            <w:pPr>
              <w:widowControl/>
              <w:jc w:val="left"/>
              <w:rPr>
                <w:bCs/>
                <w:color w:val="auto"/>
                <w:kern w:val="0"/>
                <w:szCs w:val="21"/>
              </w:rPr>
            </w:pPr>
            <w:r>
              <w:rPr>
                <w:color w:val="auto"/>
                <w:kern w:val="0"/>
                <w:szCs w:val="21"/>
              </w:rPr>
              <w:t>9.考生采集信息完成考务数据编排后，可在平台打印考生准考证、考场对照单等。并将考生信息与考点编号信息等进行自动关联，为考生入场验证做好准备工作。</w:t>
            </w:r>
            <w:r>
              <w:rPr>
                <w:color w:val="auto"/>
                <w:kern w:val="0"/>
                <w:szCs w:val="21"/>
              </w:rPr>
              <w:br w:type="textWrapping"/>
            </w:r>
            <w:r>
              <w:rPr>
                <w:color w:val="auto"/>
                <w:kern w:val="0"/>
                <w:szCs w:val="21"/>
              </w:rPr>
              <w:t>10.考生信息查询：该功能可查询考生的信息，包括考生的基本信息（证件号码，性别等）以及考试相关的信息。</w:t>
            </w:r>
            <w:r>
              <w:rPr>
                <w:color w:val="auto"/>
                <w:kern w:val="0"/>
                <w:szCs w:val="21"/>
              </w:rPr>
              <w:br w:type="textWrapping"/>
            </w:r>
            <w:r>
              <w:rPr>
                <w:color w:val="auto"/>
                <w:kern w:val="0"/>
                <w:szCs w:val="21"/>
              </w:rPr>
              <w:t>11.数据统计：该功能可按机构进行分类实时统计（查询）验证考生的验证情况，包括验证总人数、未验证人数、通过人数、未通过人数、存疑考生管理、缺考管理、人工审核、违纪管理、异常管理。汇总与统计结果以报表和图表形式输出，支持考务需求的(如准考证、体检表、缺考确认等)各类报表，打印、套打、批量打印等。</w:t>
            </w:r>
            <w:r>
              <w:rPr>
                <w:color w:val="auto"/>
                <w:kern w:val="0"/>
                <w:szCs w:val="21"/>
              </w:rPr>
              <w:br w:type="textWrapping"/>
            </w:r>
            <w:r>
              <w:rPr>
                <w:color w:val="auto"/>
                <w:kern w:val="0"/>
                <w:szCs w:val="21"/>
              </w:rPr>
              <w:t>12.系统验证管理</w:t>
            </w:r>
            <w:r>
              <w:rPr>
                <w:color w:val="auto"/>
                <w:kern w:val="0"/>
                <w:szCs w:val="21"/>
              </w:rPr>
              <w:br w:type="textWrapping"/>
            </w:r>
            <w:r>
              <w:rPr>
                <w:color w:val="auto"/>
                <w:kern w:val="0"/>
                <w:szCs w:val="21"/>
              </w:rPr>
              <w:t>系统支持人脸比对功能：在考生入场时未能通过指纹验证等方式进行验证的考生，将在入场时采集考生入场照片，可以通过入场时照片与报名采集的照片进行后台自动的人脸比对，进一步确认考生是否为本人。</w:t>
            </w:r>
            <w:r>
              <w:rPr>
                <w:color w:val="auto"/>
                <w:kern w:val="0"/>
                <w:szCs w:val="21"/>
              </w:rPr>
              <w:br w:type="textWrapping"/>
            </w:r>
            <w:r>
              <w:rPr>
                <w:color w:val="auto"/>
                <w:kern w:val="0"/>
                <w:szCs w:val="21"/>
              </w:rPr>
              <w:t>13.具备多场次关联功能：支持多场次的考试验证，支持数据的接收，支持考生数据打包。具备多场次的验证照片，指纹等汇总，实现验证轨迹统计，进行多场次关联比对，有效防止考生单场替考等，同时可对异常考生进行溯源追踪，事后取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18</w:t>
            </w:r>
          </w:p>
        </w:tc>
        <w:tc>
          <w:tcPr>
            <w:tcW w:w="1134" w:type="dxa"/>
            <w:gridSpan w:val="2"/>
            <w:vAlign w:val="center"/>
          </w:tcPr>
          <w:p>
            <w:pPr>
              <w:widowControl/>
              <w:jc w:val="center"/>
              <w:rPr>
                <w:bCs/>
                <w:color w:val="auto"/>
                <w:kern w:val="0"/>
                <w:szCs w:val="21"/>
              </w:rPr>
            </w:pPr>
            <w:r>
              <w:rPr>
                <w:color w:val="auto"/>
                <w:kern w:val="0"/>
                <w:szCs w:val="21"/>
              </w:rPr>
              <w:t>身份验证服务器</w:t>
            </w:r>
          </w:p>
        </w:tc>
        <w:tc>
          <w:tcPr>
            <w:tcW w:w="567" w:type="dxa"/>
            <w:vAlign w:val="center"/>
          </w:tcPr>
          <w:p>
            <w:pPr>
              <w:widowControl/>
              <w:jc w:val="center"/>
              <w:rPr>
                <w:bCs/>
                <w:color w:val="auto"/>
                <w:kern w:val="0"/>
                <w:szCs w:val="21"/>
              </w:rPr>
            </w:pPr>
            <w:r>
              <w:rPr>
                <w:color w:val="auto"/>
                <w:kern w:val="0"/>
                <w:szCs w:val="21"/>
              </w:rPr>
              <w:t>1台</w:t>
            </w:r>
          </w:p>
        </w:tc>
        <w:tc>
          <w:tcPr>
            <w:tcW w:w="7512" w:type="dxa"/>
            <w:vAlign w:val="top"/>
          </w:tcPr>
          <w:p>
            <w:pPr>
              <w:rPr>
                <w:color w:val="auto"/>
                <w:szCs w:val="21"/>
              </w:rPr>
            </w:pPr>
            <w:r>
              <w:rPr>
                <w:color w:val="auto"/>
                <w:szCs w:val="21"/>
              </w:rPr>
              <w:t>1.标准2U机架式服务器，配置安装导轨；</w:t>
            </w:r>
          </w:p>
          <w:p>
            <w:pPr>
              <w:rPr>
                <w:color w:val="auto"/>
                <w:szCs w:val="21"/>
              </w:rPr>
            </w:pPr>
            <w:r>
              <w:rPr>
                <w:color w:val="auto"/>
                <w:szCs w:val="21"/>
              </w:rPr>
              <w:t>2.配置1颗Intel Xeon 10核同等档次及以上/主频≧ 2.2GH ；</w:t>
            </w:r>
          </w:p>
          <w:p>
            <w:pPr>
              <w:rPr>
                <w:color w:val="auto"/>
                <w:szCs w:val="21"/>
              </w:rPr>
            </w:pPr>
            <w:r>
              <w:rPr>
                <w:color w:val="auto"/>
                <w:szCs w:val="21"/>
              </w:rPr>
              <w:t>3.配置32GB，8DIMM内存插槽，支持2133MHz DDR4的RDIMM内存，最大支持512GB；</w:t>
            </w:r>
          </w:p>
          <w:p>
            <w:pPr>
              <w:widowControl/>
              <w:ind w:right="162" w:rightChars="77"/>
              <w:jc w:val="left"/>
              <w:rPr>
                <w:color w:val="auto"/>
                <w:szCs w:val="21"/>
              </w:rPr>
            </w:pPr>
            <w:r>
              <w:rPr>
                <w:color w:val="auto"/>
                <w:szCs w:val="21"/>
              </w:rPr>
              <w:t>4.≧4 个2TB，支持8个3.5”/2.5” SATA/SAS/SSD硬盘，可内置两个尺寸：约2.5”，SATA/SAS/SSD硬盘；</w:t>
            </w:r>
          </w:p>
          <w:p>
            <w:pPr>
              <w:rPr>
                <w:color w:val="auto"/>
                <w:szCs w:val="21"/>
              </w:rPr>
            </w:pPr>
            <w:r>
              <w:rPr>
                <w:color w:val="auto"/>
                <w:szCs w:val="21"/>
              </w:rPr>
              <w:t>5.支持SATA RAID0、1、10、5，可选配支持SAS RAID0、1、10、5、50、6、60等，RAID 512MB/1GB/2GB Cache，可选缓存掉电保护；</w:t>
            </w:r>
          </w:p>
          <w:p>
            <w:pPr>
              <w:rPr>
                <w:color w:val="auto"/>
                <w:szCs w:val="21"/>
              </w:rPr>
            </w:pPr>
            <w:r>
              <w:rPr>
                <w:color w:val="auto"/>
                <w:szCs w:val="21"/>
              </w:rPr>
              <w:t>6. 提供6个PCI-E 扩展插槽（3 PCI-E3.0x8，1 PCI-E3.0x4（in*8），1 PCI-E 3.0x16， 1 PCI-E 2.0x4(in *8)）提供6个PCI-E 扩展插槽（3 PCI-E3.0x8，1 PCI-E3.0x4（in*8），1 PCI-E 3.0x16， 1 PCI-E 2.0x4(in *8)）；</w:t>
            </w:r>
          </w:p>
          <w:p>
            <w:pPr>
              <w:rPr>
                <w:color w:val="auto"/>
                <w:szCs w:val="21"/>
              </w:rPr>
            </w:pPr>
            <w:r>
              <w:rPr>
                <w:color w:val="auto"/>
                <w:szCs w:val="21"/>
              </w:rPr>
              <w:t>7. 2端口Intel i210千兆网卡支持I/O AT、负载均衡、链路汇聚、绑定冗余等特性</w:t>
            </w:r>
            <w:r>
              <w:rPr>
                <w:rFonts w:hint="eastAsia"/>
                <w:color w:val="auto"/>
                <w:szCs w:val="21"/>
              </w:rPr>
              <w:t>，</w:t>
            </w:r>
            <w:r>
              <w:rPr>
                <w:color w:val="auto"/>
                <w:szCs w:val="21"/>
              </w:rPr>
              <w:t>可选配外接千兆及万兆网卡；</w:t>
            </w:r>
          </w:p>
          <w:p>
            <w:pPr>
              <w:rPr>
                <w:color w:val="auto"/>
                <w:szCs w:val="21"/>
              </w:rPr>
            </w:pPr>
            <w:r>
              <w:rPr>
                <w:color w:val="auto"/>
                <w:szCs w:val="21"/>
              </w:rPr>
              <w:t>8.集成ASPEED AST2400；</w:t>
            </w:r>
          </w:p>
          <w:p>
            <w:pPr>
              <w:rPr>
                <w:color w:val="auto"/>
                <w:szCs w:val="21"/>
              </w:rPr>
            </w:pPr>
            <w:r>
              <w:rPr>
                <w:color w:val="auto"/>
                <w:szCs w:val="21"/>
              </w:rPr>
              <w:t>9.支持前置LCD屏，动态显示LOGO、固定资产号、操作系统、IP、电源，整机温度、RAID级别和硬盘运行状态等；</w:t>
            </w:r>
          </w:p>
          <w:p>
            <w:pPr>
              <w:rPr>
                <w:color w:val="auto"/>
                <w:szCs w:val="21"/>
              </w:rPr>
            </w:pPr>
            <w:r>
              <w:rPr>
                <w:color w:val="auto"/>
                <w:szCs w:val="21"/>
              </w:rPr>
              <w:t>10.支持指纹识别模块，开机密码保护，提高服务器管理安全性保护级别；</w:t>
            </w:r>
          </w:p>
          <w:p>
            <w:pPr>
              <w:rPr>
                <w:color w:val="auto"/>
                <w:szCs w:val="21"/>
              </w:rPr>
            </w:pPr>
            <w:r>
              <w:rPr>
                <w:color w:val="auto"/>
                <w:szCs w:val="21"/>
              </w:rPr>
              <w:t>11.550W热插拔冗余电源；</w:t>
            </w:r>
          </w:p>
          <w:p>
            <w:pPr>
              <w:rPr>
                <w:color w:val="auto"/>
                <w:szCs w:val="21"/>
              </w:rPr>
            </w:pPr>
            <w:r>
              <w:rPr>
                <w:color w:val="auto"/>
                <w:szCs w:val="21"/>
              </w:rPr>
              <w:t>12.支持基于国际标准IPMI 2.0协议基础设计的PLNM 服务器管理功能，通常的功能和监控功能包括服务器关键硬件组件监控、散热风扇速度、温度、指引灯诊断、电压；</w:t>
            </w:r>
          </w:p>
          <w:p>
            <w:pPr>
              <w:widowControl/>
              <w:ind w:right="162" w:rightChars="77"/>
              <w:jc w:val="left"/>
              <w:rPr>
                <w:color w:val="auto"/>
                <w:szCs w:val="21"/>
              </w:rPr>
            </w:pPr>
            <w:r>
              <w:rPr>
                <w:color w:val="auto"/>
                <w:szCs w:val="21"/>
              </w:rPr>
              <w:t>13.标配远程管理控制端口，可实现与操作系统无关的远程对服务器的完全控制，功能包括:</w:t>
            </w:r>
          </w:p>
          <w:p>
            <w:pPr>
              <w:widowControl/>
              <w:ind w:right="162" w:rightChars="77"/>
              <w:jc w:val="left"/>
              <w:rPr>
                <w:color w:val="auto"/>
                <w:szCs w:val="21"/>
              </w:rPr>
            </w:pPr>
            <w:r>
              <w:rPr>
                <w:color w:val="auto"/>
                <w:szCs w:val="21"/>
              </w:rPr>
              <w:t>13.1虚拟电源可远程开机、重启、关机；</w:t>
            </w:r>
          </w:p>
          <w:p>
            <w:pPr>
              <w:widowControl/>
              <w:ind w:right="162" w:rightChars="77"/>
              <w:jc w:val="left"/>
              <w:rPr>
                <w:color w:val="auto"/>
                <w:szCs w:val="21"/>
              </w:rPr>
            </w:pPr>
            <w:r>
              <w:rPr>
                <w:color w:val="auto"/>
                <w:szCs w:val="21"/>
              </w:rPr>
              <w:t>13.2更新Firmware;支持远程故障现象重现；</w:t>
            </w:r>
          </w:p>
          <w:p>
            <w:pPr>
              <w:widowControl/>
              <w:ind w:right="162" w:rightChars="77"/>
              <w:jc w:val="left"/>
              <w:rPr>
                <w:color w:val="auto"/>
                <w:szCs w:val="21"/>
              </w:rPr>
            </w:pPr>
            <w:r>
              <w:rPr>
                <w:color w:val="auto"/>
                <w:szCs w:val="21"/>
              </w:rPr>
              <w:t>13.3虚拟控制台可远程监控图形界面，可远程从本地软盘和光盘或其影像启动安装、操作Windows</w:t>
            </w:r>
            <w:r>
              <w:rPr>
                <w:rFonts w:hint="eastAsia"/>
                <w:color w:val="auto"/>
                <w:szCs w:val="21"/>
              </w:rPr>
              <w:t>，</w:t>
            </w:r>
            <w:r>
              <w:rPr>
                <w:color w:val="auto"/>
                <w:szCs w:val="21"/>
              </w:rPr>
              <w:t>Linux等软件（虚拟软驱、虚拟光驱、虚拟目录和虚拟U盘）；</w:t>
            </w:r>
          </w:p>
          <w:p>
            <w:pPr>
              <w:rPr>
                <w:color w:val="auto"/>
                <w:szCs w:val="21"/>
              </w:rPr>
            </w:pPr>
            <w:r>
              <w:rPr>
                <w:color w:val="auto"/>
                <w:szCs w:val="21"/>
              </w:rPr>
              <w:t>13.4主板集成iBMC，可实现远程iKVM；</w:t>
            </w:r>
          </w:p>
          <w:p>
            <w:pPr>
              <w:rPr>
                <w:bCs/>
                <w:color w:val="auto"/>
                <w:kern w:val="0"/>
                <w:szCs w:val="21"/>
              </w:rPr>
            </w:pPr>
            <w:r>
              <w:rPr>
                <w:color w:val="auto"/>
                <w:szCs w:val="21"/>
              </w:rPr>
              <w:t>14.原厂商3年保修及上门服务，原厂3年7*24小时电话支持服务。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19</w:t>
            </w:r>
          </w:p>
        </w:tc>
        <w:tc>
          <w:tcPr>
            <w:tcW w:w="1134" w:type="dxa"/>
            <w:gridSpan w:val="2"/>
            <w:vAlign w:val="center"/>
          </w:tcPr>
          <w:p>
            <w:pPr>
              <w:widowControl/>
              <w:jc w:val="center"/>
              <w:rPr>
                <w:bCs/>
                <w:color w:val="auto"/>
                <w:kern w:val="0"/>
                <w:szCs w:val="21"/>
              </w:rPr>
            </w:pPr>
            <w:r>
              <w:rPr>
                <w:color w:val="auto"/>
                <w:kern w:val="0"/>
                <w:szCs w:val="21"/>
              </w:rPr>
              <w:t>屏蔽器</w:t>
            </w:r>
          </w:p>
        </w:tc>
        <w:tc>
          <w:tcPr>
            <w:tcW w:w="567" w:type="dxa"/>
            <w:vAlign w:val="center"/>
          </w:tcPr>
          <w:p>
            <w:pPr>
              <w:widowControl/>
              <w:jc w:val="center"/>
              <w:rPr>
                <w:bCs/>
                <w:color w:val="auto"/>
                <w:kern w:val="0"/>
                <w:szCs w:val="21"/>
              </w:rPr>
            </w:pPr>
            <w:r>
              <w:rPr>
                <w:color w:val="auto"/>
                <w:kern w:val="0"/>
                <w:szCs w:val="21"/>
              </w:rPr>
              <w:t>126台</w:t>
            </w:r>
          </w:p>
        </w:tc>
        <w:tc>
          <w:tcPr>
            <w:tcW w:w="7512" w:type="dxa"/>
            <w:vAlign w:val="top"/>
          </w:tcPr>
          <w:p>
            <w:pPr>
              <w:rPr>
                <w:color w:val="auto"/>
                <w:szCs w:val="21"/>
              </w:rPr>
            </w:pPr>
            <w:r>
              <w:rPr>
                <w:color w:val="auto"/>
                <w:szCs w:val="21"/>
              </w:rPr>
              <w:t xml:space="preserve">1.有效屏蔽2G/3G/4G/5G手机及备选2.4G（WLAN/WIFI/蓝牙) 等无线通信信号； </w:t>
            </w:r>
          </w:p>
          <w:p>
            <w:pPr>
              <w:rPr>
                <w:color w:val="auto"/>
                <w:szCs w:val="21"/>
              </w:rPr>
            </w:pPr>
            <w:r>
              <w:rPr>
                <w:color w:val="auto"/>
                <w:szCs w:val="21"/>
              </w:rPr>
              <w:t>2.设备采用高密度散热片和低噪音风扇及机箱组成高效冷却散热系统，工作期间无噪音，性能稳定、安全、可靠；</w:t>
            </w:r>
          </w:p>
          <w:p>
            <w:pPr>
              <w:rPr>
                <w:color w:val="auto"/>
                <w:szCs w:val="21"/>
              </w:rPr>
            </w:pPr>
            <w:r>
              <w:rPr>
                <w:color w:val="auto"/>
                <w:szCs w:val="21"/>
              </w:rPr>
              <w:t>3.设备可根据采购人需要配备内置网络控制板及数据接口RJ45，支持TCP/IP协议，具备联网能力，通过软件和网络在终端操作界面上管理开关每台设备，监控每台设备连接情况和工作状态，实时报告故障，实现网络集中控制管理功能；</w:t>
            </w:r>
          </w:p>
          <w:p>
            <w:pPr>
              <w:rPr>
                <w:color w:val="auto"/>
                <w:szCs w:val="21"/>
              </w:rPr>
            </w:pPr>
            <w:r>
              <w:rPr>
                <w:color w:val="auto"/>
                <w:szCs w:val="21"/>
              </w:rPr>
              <w:t>4.采用内置全向天线和高增益定向天线相结合，具有屏蔽效果；</w:t>
            </w:r>
          </w:p>
          <w:p>
            <w:pPr>
              <w:rPr>
                <w:color w:val="auto"/>
                <w:szCs w:val="21"/>
              </w:rPr>
            </w:pPr>
            <w:r>
              <w:rPr>
                <w:color w:val="auto"/>
                <w:szCs w:val="21"/>
              </w:rPr>
              <w:t>5.整机一体化设计，直接取电开机就工作，安装使用管理简便；</w:t>
            </w:r>
          </w:p>
          <w:p>
            <w:pPr>
              <w:rPr>
                <w:color w:val="auto"/>
                <w:szCs w:val="21"/>
              </w:rPr>
            </w:pPr>
            <w:r>
              <w:rPr>
                <w:color w:val="auto"/>
                <w:szCs w:val="21"/>
              </w:rPr>
              <w:t>6.缓启动电路设计，避免产生机械开关打火现象；</w:t>
            </w:r>
          </w:p>
          <w:p>
            <w:pPr>
              <w:rPr>
                <w:color w:val="auto"/>
                <w:szCs w:val="21"/>
              </w:rPr>
            </w:pPr>
            <w:r>
              <w:rPr>
                <w:color w:val="auto"/>
                <w:szCs w:val="21"/>
              </w:rPr>
              <w:t>7.设备电磁辐射强度远低于国家标准，对人体无任何影响；</w:t>
            </w:r>
          </w:p>
          <w:p>
            <w:pPr>
              <w:rPr>
                <w:bCs/>
                <w:color w:val="auto"/>
                <w:kern w:val="0"/>
                <w:szCs w:val="21"/>
              </w:rPr>
            </w:pPr>
            <w:r>
              <w:rPr>
                <w:color w:val="auto"/>
                <w:szCs w:val="21"/>
              </w:rPr>
              <w:t>8.有效屏蔽范围100-200平方米（使用场所场强≤-75dBm）。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20</w:t>
            </w:r>
          </w:p>
        </w:tc>
        <w:tc>
          <w:tcPr>
            <w:tcW w:w="1134" w:type="dxa"/>
            <w:gridSpan w:val="2"/>
            <w:vAlign w:val="center"/>
          </w:tcPr>
          <w:p>
            <w:pPr>
              <w:widowControl/>
              <w:jc w:val="center"/>
              <w:rPr>
                <w:bCs/>
                <w:color w:val="auto"/>
                <w:kern w:val="0"/>
                <w:szCs w:val="21"/>
              </w:rPr>
            </w:pPr>
            <w:r>
              <w:rPr>
                <w:color w:val="auto"/>
                <w:kern w:val="0"/>
                <w:szCs w:val="21"/>
              </w:rPr>
              <w:t>金属探测仪（手持式）</w:t>
            </w:r>
          </w:p>
        </w:tc>
        <w:tc>
          <w:tcPr>
            <w:tcW w:w="567" w:type="dxa"/>
            <w:vAlign w:val="center"/>
          </w:tcPr>
          <w:p>
            <w:pPr>
              <w:widowControl/>
              <w:jc w:val="center"/>
              <w:rPr>
                <w:bCs/>
                <w:color w:val="auto"/>
                <w:kern w:val="0"/>
                <w:szCs w:val="21"/>
              </w:rPr>
            </w:pPr>
            <w:r>
              <w:rPr>
                <w:color w:val="auto"/>
                <w:kern w:val="0"/>
                <w:szCs w:val="21"/>
              </w:rPr>
              <w:t>118台</w:t>
            </w:r>
          </w:p>
        </w:tc>
        <w:tc>
          <w:tcPr>
            <w:tcW w:w="7512" w:type="dxa"/>
            <w:vAlign w:val="top"/>
          </w:tcPr>
          <w:p>
            <w:pPr>
              <w:rPr>
                <w:bCs/>
                <w:color w:val="auto"/>
                <w:kern w:val="0"/>
                <w:szCs w:val="21"/>
              </w:rPr>
            </w:pPr>
            <w:r>
              <w:rPr>
                <w:color w:val="auto"/>
                <w:kern w:val="0"/>
                <w:szCs w:val="21"/>
              </w:rPr>
              <w:t>1.高低灵敏度选择，声音震动报警模式切换，标准9V方块电池，探测距离2-10CM；</w:t>
            </w:r>
            <w:r>
              <w:rPr>
                <w:color w:val="auto"/>
                <w:kern w:val="0"/>
                <w:szCs w:val="21"/>
              </w:rPr>
              <w:br w:type="textWrapping"/>
            </w:r>
            <w:r>
              <w:rPr>
                <w:color w:val="auto"/>
                <w:kern w:val="0"/>
                <w:szCs w:val="21"/>
              </w:rPr>
              <w:t>2.探测速度0-1.8M/S，常规速度1M/S；</w:t>
            </w:r>
            <w:r>
              <w:rPr>
                <w:color w:val="auto"/>
                <w:kern w:val="0"/>
                <w:szCs w:val="21"/>
              </w:rPr>
              <w:br w:type="textWrapping"/>
            </w:r>
            <w:r>
              <w:rPr>
                <w:color w:val="auto"/>
                <w:kern w:val="0"/>
                <w:szCs w:val="21"/>
              </w:rPr>
              <w:t>3.规格：约长420mm*宽80mm*厚42mm。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21</w:t>
            </w:r>
          </w:p>
        </w:tc>
        <w:tc>
          <w:tcPr>
            <w:tcW w:w="1134" w:type="dxa"/>
            <w:gridSpan w:val="2"/>
            <w:vAlign w:val="center"/>
          </w:tcPr>
          <w:p>
            <w:pPr>
              <w:widowControl/>
              <w:jc w:val="center"/>
              <w:rPr>
                <w:bCs/>
                <w:color w:val="auto"/>
                <w:kern w:val="0"/>
                <w:szCs w:val="21"/>
              </w:rPr>
            </w:pPr>
            <w:r>
              <w:rPr>
                <w:color w:val="auto"/>
                <w:kern w:val="0"/>
                <w:szCs w:val="21"/>
              </w:rPr>
              <w:t>UPS主机</w:t>
            </w:r>
          </w:p>
        </w:tc>
        <w:tc>
          <w:tcPr>
            <w:tcW w:w="567" w:type="dxa"/>
            <w:vAlign w:val="center"/>
          </w:tcPr>
          <w:p>
            <w:pPr>
              <w:widowControl/>
              <w:jc w:val="center"/>
              <w:rPr>
                <w:bCs/>
                <w:color w:val="auto"/>
                <w:kern w:val="0"/>
                <w:szCs w:val="21"/>
              </w:rPr>
            </w:pPr>
            <w:r>
              <w:rPr>
                <w:color w:val="auto"/>
                <w:kern w:val="0"/>
                <w:szCs w:val="21"/>
              </w:rPr>
              <w:t>1台</w:t>
            </w:r>
          </w:p>
        </w:tc>
        <w:tc>
          <w:tcPr>
            <w:tcW w:w="7512" w:type="dxa"/>
            <w:vAlign w:val="top"/>
          </w:tcPr>
          <w:p>
            <w:pPr>
              <w:pStyle w:val="3"/>
              <w:numPr>
                <w:ilvl w:val="1"/>
                <w:numId w:val="0"/>
              </w:numPr>
              <w:spacing w:before="0" w:after="0" w:line="240" w:lineRule="auto"/>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1.整体要求：单进单出工频构架双变换在线式工频机，容量为6KVA/5.4KW;</w:t>
            </w:r>
          </w:p>
          <w:p>
            <w:pPr>
              <w:pStyle w:val="3"/>
              <w:numPr>
                <w:ilvl w:val="1"/>
                <w:numId w:val="0"/>
              </w:numPr>
              <w:spacing w:before="0" w:after="0" w:line="240" w:lineRule="auto"/>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2.整机结构：</w:t>
            </w:r>
          </w:p>
          <w:p>
            <w:pPr>
              <w:rPr>
                <w:color w:val="auto"/>
                <w:szCs w:val="21"/>
              </w:rPr>
            </w:pPr>
            <w:r>
              <w:rPr>
                <w:color w:val="auto"/>
                <w:szCs w:val="21"/>
              </w:rPr>
              <w:t>2.1输出端带有升压隔离变压器: 可有效的降低零地电压，优化UPS末端供电网络；可有效的滤除负载端谐波，提高供电质量；可增强过载短路保护能力，隔离安全负载；可通交流阻直流，UPS故障时保护负载。采用LCD+LED显示；</w:t>
            </w:r>
          </w:p>
          <w:p>
            <w:pPr>
              <w:rPr>
                <w:color w:val="auto"/>
                <w:szCs w:val="21"/>
              </w:rPr>
            </w:pPr>
            <w:r>
              <w:rPr>
                <w:color w:val="auto"/>
                <w:szCs w:val="21"/>
              </w:rPr>
              <w:t>2.2标配手动维修旁路；</w:t>
            </w:r>
          </w:p>
          <w:p>
            <w:pPr>
              <w:rPr>
                <w:color w:val="auto"/>
                <w:szCs w:val="21"/>
              </w:rPr>
            </w:pPr>
            <w:r>
              <w:rPr>
                <w:color w:val="auto"/>
                <w:szCs w:val="21"/>
              </w:rPr>
              <w:t>2.3支持双路市电输入；</w:t>
            </w:r>
          </w:p>
          <w:p>
            <w:pPr>
              <w:rPr>
                <w:color w:val="auto"/>
                <w:szCs w:val="21"/>
              </w:rPr>
            </w:pPr>
            <w:r>
              <w:rPr>
                <w:color w:val="auto"/>
                <w:szCs w:val="21"/>
              </w:rPr>
              <w:t>2.4UPS具有RS232、干接点等接口；</w:t>
            </w:r>
          </w:p>
          <w:p>
            <w:pPr>
              <w:rPr>
                <w:color w:val="auto"/>
                <w:szCs w:val="21"/>
              </w:rPr>
            </w:pPr>
            <w:r>
              <w:rPr>
                <w:color w:val="auto"/>
                <w:szCs w:val="21"/>
              </w:rPr>
              <w:t>2.5支持两路独立的市电接入</w:t>
            </w:r>
            <w:r>
              <w:rPr>
                <w:rFonts w:hint="eastAsia"/>
                <w:color w:val="auto"/>
                <w:szCs w:val="21"/>
              </w:rPr>
              <w:t>，</w:t>
            </w:r>
            <w:r>
              <w:rPr>
                <w:color w:val="auto"/>
                <w:szCs w:val="21"/>
              </w:rPr>
              <w:t>提高了系统的可靠性；</w:t>
            </w:r>
          </w:p>
          <w:p>
            <w:pPr>
              <w:ind w:left="420" w:leftChars="200"/>
              <w:rPr>
                <w:color w:val="auto"/>
                <w:szCs w:val="21"/>
              </w:rPr>
            </w:pPr>
            <w:r>
              <w:rPr>
                <w:color w:val="auto"/>
                <w:szCs w:val="21"/>
              </w:rPr>
              <w:t>UPS的输入端、输出端对地施加500V直流电压时，绝缘电阻应&gt;2MΩ；</w:t>
            </w:r>
          </w:p>
          <w:p>
            <w:pPr>
              <w:rPr>
                <w:color w:val="auto"/>
                <w:szCs w:val="21"/>
              </w:rPr>
            </w:pPr>
            <w:r>
              <w:rPr>
                <w:color w:val="auto"/>
                <w:szCs w:val="21"/>
              </w:rPr>
              <w:t>2.6 IP防护等级：IP20；</w:t>
            </w:r>
          </w:p>
          <w:p>
            <w:pPr>
              <w:rPr>
                <w:color w:val="auto"/>
                <w:szCs w:val="21"/>
              </w:rPr>
            </w:pPr>
            <w:r>
              <w:rPr>
                <w:color w:val="auto"/>
                <w:szCs w:val="21"/>
              </w:rPr>
              <w:t>2.7支持变频模式（输入50HZ输出60HZ）；</w:t>
            </w:r>
          </w:p>
          <w:p>
            <w:pPr>
              <w:rPr>
                <w:color w:val="auto"/>
                <w:szCs w:val="21"/>
              </w:rPr>
            </w:pPr>
            <w:r>
              <w:rPr>
                <w:color w:val="auto"/>
                <w:szCs w:val="21"/>
              </w:rPr>
              <w:t>2.8外观与结构：不间断电源面板平整，镀层牢固，漆面匀称，所有标记、标牌清晰可辨，无剥落、锈蚀、裂痕、明显变形等不良现象。金属箱体，外观RAL9005黑色；</w:t>
            </w:r>
          </w:p>
          <w:p>
            <w:pPr>
              <w:rPr>
                <w:color w:val="auto"/>
                <w:szCs w:val="21"/>
              </w:rPr>
            </w:pPr>
            <w:r>
              <w:rPr>
                <w:color w:val="auto"/>
                <w:szCs w:val="21"/>
              </w:rPr>
              <w:t>2.9冷启动功能：UPS系统在没有交流电源输入但蓄电池组一直并联在直流母线的情况下，可直接启动UPS；</w:t>
            </w:r>
          </w:p>
          <w:p>
            <w:pPr>
              <w:rPr>
                <w:color w:val="auto"/>
                <w:szCs w:val="21"/>
              </w:rPr>
            </w:pPr>
            <w:r>
              <w:rPr>
                <w:rFonts w:hint="eastAsia" w:ascii="黑体" w:hAnsi="黑体" w:eastAsia="黑体"/>
                <w:b/>
                <w:bCs/>
                <w:color w:val="auto"/>
                <w:sz w:val="24"/>
              </w:rPr>
              <w:t>＃</w:t>
            </w:r>
            <w:r>
              <w:rPr>
                <w:color w:val="auto"/>
                <w:szCs w:val="21"/>
              </w:rPr>
              <w:t>2.10独立充电电路，双充电板设计，</w:t>
            </w:r>
            <w:r>
              <w:rPr>
                <w:color w:val="auto"/>
              </w:rPr>
              <w:t>提供相关证明材料（包括但不限于彩页、官网和功能截图等）</w:t>
            </w:r>
            <w:r>
              <w:rPr>
                <w:color w:val="auto"/>
                <w:szCs w:val="21"/>
              </w:rPr>
              <w:t>；</w:t>
            </w:r>
          </w:p>
          <w:p>
            <w:pPr>
              <w:rPr>
                <w:color w:val="auto"/>
                <w:szCs w:val="21"/>
              </w:rPr>
            </w:pPr>
            <w:r>
              <w:rPr>
                <w:color w:val="auto"/>
                <w:szCs w:val="21"/>
              </w:rPr>
              <w:t>2.11充电部分需具备过温保护功能</w:t>
            </w:r>
            <w:r>
              <w:rPr>
                <w:rFonts w:hint="eastAsia"/>
                <w:color w:val="auto"/>
                <w:szCs w:val="21"/>
              </w:rPr>
              <w:t>，</w:t>
            </w:r>
            <w:r>
              <w:rPr>
                <w:color w:val="auto"/>
                <w:szCs w:val="21"/>
              </w:rPr>
              <w:t>并对充电过温保护的技术做出说明；</w:t>
            </w:r>
          </w:p>
          <w:p>
            <w:pPr>
              <w:rPr>
                <w:color w:val="auto"/>
                <w:szCs w:val="21"/>
              </w:rPr>
            </w:pPr>
            <w:r>
              <w:rPr>
                <w:color w:val="auto"/>
                <w:szCs w:val="21"/>
              </w:rPr>
              <w:t>2.12通过显示面板可调节输出电压为：220/230/240VAC。</w:t>
            </w:r>
          </w:p>
          <w:p>
            <w:pPr>
              <w:pStyle w:val="3"/>
              <w:numPr>
                <w:ilvl w:val="1"/>
                <w:numId w:val="0"/>
              </w:numPr>
              <w:spacing w:before="0" w:after="0" w:line="240" w:lineRule="auto"/>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3.电气性能：</w:t>
            </w:r>
          </w:p>
          <w:p>
            <w:pPr>
              <w:widowControl/>
              <w:rPr>
                <w:color w:val="auto"/>
                <w:szCs w:val="21"/>
              </w:rPr>
            </w:pPr>
            <w:r>
              <w:rPr>
                <w:color w:val="auto"/>
                <w:szCs w:val="21"/>
              </w:rPr>
              <w:t xml:space="preserve">3.1整流输入电压范围：165~275VAC（单相三线）； </w:t>
            </w:r>
          </w:p>
          <w:p>
            <w:pPr>
              <w:widowControl/>
              <w:rPr>
                <w:color w:val="auto"/>
                <w:szCs w:val="21"/>
              </w:rPr>
            </w:pPr>
            <w:r>
              <w:rPr>
                <w:color w:val="auto"/>
                <w:szCs w:val="21"/>
              </w:rPr>
              <w:t>3.2输入功率因数：满载时≥0.98；</w:t>
            </w:r>
          </w:p>
          <w:p>
            <w:pPr>
              <w:widowControl/>
              <w:rPr>
                <w:color w:val="auto"/>
                <w:szCs w:val="21"/>
              </w:rPr>
            </w:pPr>
            <w:r>
              <w:rPr>
                <w:color w:val="auto"/>
                <w:szCs w:val="21"/>
              </w:rPr>
              <w:t>3.3输入电流谐波：满载时≤8%；</w:t>
            </w:r>
          </w:p>
          <w:p>
            <w:pPr>
              <w:widowControl/>
              <w:rPr>
                <w:color w:val="auto"/>
                <w:szCs w:val="21"/>
              </w:rPr>
            </w:pPr>
            <w:r>
              <w:rPr>
                <w:color w:val="auto"/>
                <w:szCs w:val="21"/>
              </w:rPr>
              <w:t>3.4输出电压失真度：失真度＜3%（100％非线性负载）；</w:t>
            </w:r>
          </w:p>
          <w:p>
            <w:pPr>
              <w:widowControl/>
              <w:rPr>
                <w:color w:val="auto"/>
                <w:szCs w:val="21"/>
              </w:rPr>
            </w:pPr>
            <w:r>
              <w:rPr>
                <w:color w:val="auto"/>
                <w:szCs w:val="21"/>
              </w:rPr>
              <w:t>3.5输出功率因数：UPS的输出功率因数0.9；</w:t>
            </w:r>
          </w:p>
          <w:p>
            <w:pPr>
              <w:widowControl/>
              <w:rPr>
                <w:color w:val="auto"/>
                <w:szCs w:val="21"/>
              </w:rPr>
            </w:pPr>
            <w:r>
              <w:rPr>
                <w:color w:val="auto"/>
                <w:szCs w:val="21"/>
              </w:rPr>
              <w:t>3.6旁路电压输入范围：187~253VAC；</w:t>
            </w:r>
          </w:p>
          <w:p>
            <w:pPr>
              <w:widowControl/>
              <w:rPr>
                <w:color w:val="auto"/>
                <w:szCs w:val="21"/>
              </w:rPr>
            </w:pPr>
            <w:r>
              <w:rPr>
                <w:color w:val="auto"/>
                <w:szCs w:val="21"/>
              </w:rPr>
              <w:t>3.7旁路频率保护范围：47~53/57~63(Hz)；</w:t>
            </w:r>
          </w:p>
          <w:p>
            <w:pPr>
              <w:widowControl/>
              <w:rPr>
                <w:color w:val="auto"/>
                <w:szCs w:val="21"/>
              </w:rPr>
            </w:pPr>
            <w:r>
              <w:rPr>
                <w:color w:val="auto"/>
                <w:szCs w:val="21"/>
              </w:rPr>
              <w:t>3.8电源效率≥90%；</w:t>
            </w:r>
          </w:p>
          <w:p>
            <w:pPr>
              <w:widowControl/>
              <w:rPr>
                <w:color w:val="auto"/>
                <w:szCs w:val="21"/>
              </w:rPr>
            </w:pPr>
            <w:r>
              <w:rPr>
                <w:color w:val="auto"/>
                <w:szCs w:val="21"/>
              </w:rPr>
              <w:t>3.9输出电压稳压精度：220×±1％VAC；</w:t>
            </w:r>
          </w:p>
          <w:p>
            <w:pPr>
              <w:widowControl/>
              <w:rPr>
                <w:color w:val="auto"/>
                <w:szCs w:val="21"/>
              </w:rPr>
            </w:pPr>
            <w:r>
              <w:rPr>
                <w:color w:val="auto"/>
                <w:szCs w:val="21"/>
              </w:rPr>
              <w:t>3.10输出频率精度：50Hz/60Hz±0.5%(电池模式)；</w:t>
            </w:r>
          </w:p>
          <w:p>
            <w:pPr>
              <w:widowControl/>
              <w:rPr>
                <w:color w:val="auto"/>
                <w:szCs w:val="21"/>
              </w:rPr>
            </w:pPr>
            <w:r>
              <w:rPr>
                <w:color w:val="auto"/>
                <w:szCs w:val="21"/>
              </w:rPr>
              <w:t>3.11输出过载能力：(1)100%＜负载≤110%，长期带载; (2) 110%＜负载≤130%</w:t>
            </w:r>
            <w:r>
              <w:rPr>
                <w:rFonts w:hint="eastAsia"/>
                <w:color w:val="auto"/>
                <w:szCs w:val="21"/>
              </w:rPr>
              <w:t>，</w:t>
            </w:r>
            <w:r>
              <w:rPr>
                <w:color w:val="auto"/>
                <w:szCs w:val="21"/>
              </w:rPr>
              <w:t>10 分钟转旁路；（3）130%＜负载＜150%</w:t>
            </w:r>
            <w:r>
              <w:rPr>
                <w:rFonts w:hint="eastAsia"/>
                <w:color w:val="auto"/>
                <w:szCs w:val="21"/>
              </w:rPr>
              <w:t>，</w:t>
            </w:r>
            <w:r>
              <w:rPr>
                <w:color w:val="auto"/>
                <w:szCs w:val="21"/>
              </w:rPr>
              <w:t>60S 转旁路（4）负载≥150% 10S 转旁路；</w:t>
            </w:r>
          </w:p>
          <w:p>
            <w:pPr>
              <w:widowControl/>
              <w:rPr>
                <w:color w:val="auto"/>
                <w:szCs w:val="21"/>
              </w:rPr>
            </w:pPr>
            <w:r>
              <w:rPr>
                <w:color w:val="auto"/>
                <w:szCs w:val="21"/>
              </w:rPr>
              <w:t>3.12动态电压瞬变范围：±5%；</w:t>
            </w:r>
          </w:p>
          <w:p>
            <w:pPr>
              <w:widowControl/>
              <w:rPr>
                <w:color w:val="auto"/>
                <w:szCs w:val="21"/>
              </w:rPr>
            </w:pPr>
            <w:r>
              <w:rPr>
                <w:color w:val="auto"/>
                <w:szCs w:val="21"/>
              </w:rPr>
              <w:t>3.13瞬变响应恢复时间（ms）：≤10ms；</w:t>
            </w:r>
          </w:p>
          <w:p>
            <w:pPr>
              <w:widowControl/>
              <w:rPr>
                <w:color w:val="auto"/>
                <w:szCs w:val="21"/>
              </w:rPr>
            </w:pPr>
            <w:r>
              <w:rPr>
                <w:color w:val="auto"/>
                <w:szCs w:val="21"/>
              </w:rPr>
              <w:t>3.14市电电池切换时间：0ms；</w:t>
            </w:r>
          </w:p>
          <w:p>
            <w:pPr>
              <w:rPr>
                <w:color w:val="auto"/>
                <w:szCs w:val="21"/>
              </w:rPr>
            </w:pPr>
            <w:r>
              <w:rPr>
                <w:color w:val="auto"/>
                <w:szCs w:val="21"/>
              </w:rPr>
              <w:t>3.15旁路逆变切换时间：约2ms。</w:t>
            </w:r>
          </w:p>
          <w:p>
            <w:pPr>
              <w:pStyle w:val="3"/>
              <w:numPr>
                <w:ilvl w:val="1"/>
                <w:numId w:val="0"/>
              </w:numPr>
              <w:spacing w:before="0" w:after="0" w:line="240" w:lineRule="auto"/>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4.功能要求：</w:t>
            </w:r>
          </w:p>
          <w:p>
            <w:pPr>
              <w:rPr>
                <w:color w:val="auto"/>
                <w:szCs w:val="21"/>
              </w:rPr>
            </w:pPr>
            <w:r>
              <w:rPr>
                <w:color w:val="auto"/>
                <w:szCs w:val="21"/>
              </w:rPr>
              <w:t>4.1可接发电机；</w:t>
            </w:r>
          </w:p>
          <w:p>
            <w:pPr>
              <w:rPr>
                <w:color w:val="auto"/>
                <w:szCs w:val="21"/>
              </w:rPr>
            </w:pPr>
            <w:r>
              <w:rPr>
                <w:color w:val="auto"/>
                <w:szCs w:val="21"/>
              </w:rPr>
              <w:t>4.2遥测功能：能遥测输入电压，直流输入电压，输出电压，输出电流，输出频率；</w:t>
            </w:r>
          </w:p>
          <w:p>
            <w:pPr>
              <w:rPr>
                <w:color w:val="auto"/>
                <w:szCs w:val="21"/>
              </w:rPr>
            </w:pPr>
            <w:r>
              <w:rPr>
                <w:color w:val="auto"/>
                <w:szCs w:val="21"/>
              </w:rPr>
              <w:t>4.3遥信功能：能遥信同步/不同步，UPS/旁路供电，蓄电池放电电压低，市电故障，UPS故障和运行状态记录；</w:t>
            </w:r>
          </w:p>
          <w:p>
            <w:pPr>
              <w:rPr>
                <w:color w:val="auto"/>
                <w:szCs w:val="21"/>
              </w:rPr>
            </w:pPr>
            <w:r>
              <w:rPr>
                <w:color w:val="auto"/>
                <w:szCs w:val="21"/>
              </w:rPr>
              <w:t>4.4采用智能电池管理技术</w:t>
            </w:r>
            <w:r>
              <w:rPr>
                <w:rFonts w:hint="eastAsia"/>
                <w:color w:val="auto"/>
                <w:szCs w:val="21"/>
              </w:rPr>
              <w:t>，</w:t>
            </w:r>
            <w:r>
              <w:rPr>
                <w:color w:val="auto"/>
                <w:szCs w:val="21"/>
              </w:rPr>
              <w:t>从而延长电池的使用寿命</w:t>
            </w:r>
            <w:r>
              <w:rPr>
                <w:rFonts w:hint="eastAsia"/>
                <w:color w:val="auto"/>
                <w:szCs w:val="21"/>
              </w:rPr>
              <w:t>，</w:t>
            </w:r>
            <w:r>
              <w:rPr>
                <w:color w:val="auto"/>
                <w:szCs w:val="21"/>
              </w:rPr>
              <w:t>减少电池维护次数；</w:t>
            </w:r>
          </w:p>
          <w:p>
            <w:pPr>
              <w:rPr>
                <w:color w:val="auto"/>
                <w:szCs w:val="21"/>
              </w:rPr>
            </w:pPr>
            <w:r>
              <w:rPr>
                <w:color w:val="auto"/>
                <w:szCs w:val="21"/>
              </w:rPr>
              <w:t>4.5UPS具备告警输出短路保护、输出过载保护、风扇故障告警、电池低压保护、输出过欠压保护、防雷保护等；</w:t>
            </w:r>
          </w:p>
          <w:p>
            <w:pPr>
              <w:rPr>
                <w:color w:val="auto"/>
                <w:szCs w:val="21"/>
              </w:rPr>
            </w:pPr>
            <w:r>
              <w:rPr>
                <w:color w:val="auto"/>
                <w:szCs w:val="21"/>
              </w:rPr>
              <w:t>4.6UPS需具备市电自启功能:无电池情况下来市电UPS自启动，自我检测后开启逆变器输出。实现正真的无人值守功能，杜绝类似某些品牌UPS因电池欠压无法启动，造成电池损坏、负载电源得不到有效保护等问题。</w:t>
            </w:r>
          </w:p>
          <w:p>
            <w:pPr>
              <w:pStyle w:val="3"/>
              <w:numPr>
                <w:ilvl w:val="1"/>
                <w:numId w:val="0"/>
              </w:numPr>
              <w:spacing w:before="0" w:after="0" w:line="240" w:lineRule="auto"/>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5.认证证书：</w:t>
            </w:r>
          </w:p>
          <w:p>
            <w:pPr>
              <w:rPr>
                <w:color w:val="auto"/>
                <w:szCs w:val="21"/>
              </w:rPr>
            </w:pPr>
            <w:r>
              <w:rPr>
                <w:color w:val="auto"/>
                <w:szCs w:val="21"/>
              </w:rPr>
              <w:t>5.1</w:t>
            </w:r>
            <w:r>
              <w:rPr>
                <w:color w:val="auto"/>
                <w:kern w:val="0"/>
                <w:szCs w:val="21"/>
              </w:rPr>
              <w:t>生产企业通过：ISO14001，ISO9001认证，ISO45001认证，</w:t>
            </w:r>
            <w:r>
              <w:rPr>
                <w:color w:val="auto"/>
              </w:rPr>
              <w:t>提供相关证明材料，并</w:t>
            </w:r>
            <w:r>
              <w:rPr>
                <w:rFonts w:hint="eastAsia"/>
                <w:color w:val="auto"/>
              </w:rPr>
              <w:t>加盖供应商公章</w:t>
            </w:r>
            <w:r>
              <w:rPr>
                <w:color w:val="auto"/>
              </w:rPr>
              <w:t>；</w:t>
            </w:r>
          </w:p>
          <w:p>
            <w:pPr>
              <w:rPr>
                <w:bCs/>
                <w:color w:val="auto"/>
                <w:kern w:val="0"/>
                <w:szCs w:val="21"/>
              </w:rPr>
            </w:pPr>
            <w:r>
              <w:rPr>
                <w:color w:val="auto"/>
                <w:kern w:val="0"/>
                <w:szCs w:val="21"/>
              </w:rPr>
              <w:t>5.2为UPS软体部分需为自主研发编写，</w:t>
            </w:r>
            <w:r>
              <w:rPr>
                <w:color w:val="auto"/>
              </w:rPr>
              <w:t>提供</w:t>
            </w:r>
            <w:r>
              <w:rPr>
                <w:rFonts w:hint="eastAsia"/>
                <w:color w:val="auto"/>
              </w:rPr>
              <w:t>软件著作证书</w:t>
            </w:r>
            <w:r>
              <w:rPr>
                <w:color w:val="auto"/>
              </w:rPr>
              <w:t>，并加盖</w:t>
            </w:r>
            <w:r>
              <w:rPr>
                <w:rFonts w:hint="eastAsia"/>
                <w:color w:val="auto"/>
              </w:rPr>
              <w:t>供投标单位</w:t>
            </w:r>
            <w:r>
              <w:rPr>
                <w:color w:val="auto"/>
              </w:rPr>
              <w:t>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22</w:t>
            </w:r>
          </w:p>
        </w:tc>
        <w:tc>
          <w:tcPr>
            <w:tcW w:w="1134" w:type="dxa"/>
            <w:gridSpan w:val="2"/>
            <w:vAlign w:val="center"/>
          </w:tcPr>
          <w:p>
            <w:pPr>
              <w:widowControl/>
              <w:jc w:val="center"/>
              <w:rPr>
                <w:bCs/>
                <w:color w:val="auto"/>
                <w:kern w:val="0"/>
                <w:szCs w:val="21"/>
              </w:rPr>
            </w:pPr>
            <w:r>
              <w:rPr>
                <w:color w:val="auto"/>
                <w:kern w:val="0"/>
                <w:szCs w:val="21"/>
              </w:rPr>
              <w:t>UPS电池</w:t>
            </w:r>
          </w:p>
        </w:tc>
        <w:tc>
          <w:tcPr>
            <w:tcW w:w="567" w:type="dxa"/>
            <w:vAlign w:val="center"/>
          </w:tcPr>
          <w:p>
            <w:pPr>
              <w:widowControl/>
              <w:jc w:val="center"/>
              <w:rPr>
                <w:bCs/>
                <w:color w:val="auto"/>
                <w:kern w:val="0"/>
                <w:szCs w:val="21"/>
              </w:rPr>
            </w:pPr>
            <w:r>
              <w:rPr>
                <w:color w:val="auto"/>
                <w:kern w:val="0"/>
                <w:szCs w:val="21"/>
              </w:rPr>
              <w:t>32只</w:t>
            </w:r>
          </w:p>
        </w:tc>
        <w:tc>
          <w:tcPr>
            <w:tcW w:w="7512" w:type="dxa"/>
            <w:vAlign w:val="top"/>
          </w:tcPr>
          <w:p>
            <w:pPr>
              <w:rPr>
                <w:color w:val="auto"/>
                <w:kern w:val="0"/>
                <w:szCs w:val="21"/>
              </w:rPr>
            </w:pPr>
            <w:r>
              <w:rPr>
                <w:color w:val="auto"/>
                <w:kern w:val="0"/>
                <w:szCs w:val="21"/>
              </w:rPr>
              <w:t>1.电荷周期：充电电流≤15A，电压14.40-14.80V，时间14-16H</w:t>
            </w:r>
            <w:r>
              <w:rPr>
                <w:rFonts w:hint="eastAsia"/>
                <w:color w:val="auto"/>
                <w:kern w:val="0"/>
                <w:szCs w:val="21"/>
              </w:rPr>
              <w:t>，</w:t>
            </w:r>
            <w:r>
              <w:rPr>
                <w:color w:val="auto"/>
                <w:kern w:val="0"/>
                <w:szCs w:val="21"/>
              </w:rPr>
              <w:t xml:space="preserve"> 浮动电压13.60-13.80V</w:t>
            </w:r>
            <w:r>
              <w:rPr>
                <w:rFonts w:hint="eastAsia"/>
                <w:color w:val="auto"/>
                <w:kern w:val="0"/>
                <w:szCs w:val="21"/>
              </w:rPr>
              <w:t>，</w:t>
            </w:r>
            <w:r>
              <w:rPr>
                <w:color w:val="auto"/>
                <w:kern w:val="0"/>
                <w:szCs w:val="21"/>
              </w:rPr>
              <w:t xml:space="preserve"> 端子M8L.25℃，自放电率存放3个月为91%</w:t>
            </w:r>
            <w:r>
              <w:rPr>
                <w:rFonts w:hint="eastAsia"/>
                <w:color w:val="auto"/>
                <w:kern w:val="0"/>
                <w:szCs w:val="21"/>
              </w:rPr>
              <w:t>，</w:t>
            </w:r>
            <w:r>
              <w:rPr>
                <w:color w:val="auto"/>
                <w:kern w:val="0"/>
                <w:szCs w:val="21"/>
              </w:rPr>
              <w:t>存放6个月为82%，存放12个月为64%，不同温度下的容量</w:t>
            </w:r>
            <w:r>
              <w:rPr>
                <w:rFonts w:hint="eastAsia"/>
                <w:color w:val="auto"/>
                <w:kern w:val="0"/>
                <w:szCs w:val="21"/>
              </w:rPr>
              <w:t>，</w:t>
            </w:r>
            <w:r>
              <w:rPr>
                <w:color w:val="auto"/>
                <w:kern w:val="0"/>
                <w:szCs w:val="21"/>
              </w:rPr>
              <w:t xml:space="preserve"> 40℃时为102%</w:t>
            </w:r>
            <w:r>
              <w:rPr>
                <w:rFonts w:hint="eastAsia"/>
                <w:color w:val="auto"/>
                <w:kern w:val="0"/>
                <w:szCs w:val="21"/>
              </w:rPr>
              <w:t>，</w:t>
            </w:r>
            <w:r>
              <w:rPr>
                <w:color w:val="auto"/>
                <w:kern w:val="0"/>
                <w:szCs w:val="21"/>
              </w:rPr>
              <w:t>25℃时为100% ，0℃时为85%，-15℃时为65 %；</w:t>
            </w:r>
          </w:p>
          <w:p>
            <w:pPr>
              <w:rPr>
                <w:color w:val="auto"/>
                <w:kern w:val="0"/>
                <w:szCs w:val="21"/>
              </w:rPr>
            </w:pPr>
            <w:r>
              <w:rPr>
                <w:color w:val="auto"/>
                <w:kern w:val="0"/>
                <w:szCs w:val="21"/>
              </w:rPr>
              <w:t>2.正常浮充状态下，电池寿命可达10年以上；</w:t>
            </w:r>
          </w:p>
          <w:p>
            <w:pPr>
              <w:rPr>
                <w:color w:val="auto"/>
                <w:kern w:val="0"/>
                <w:szCs w:val="21"/>
              </w:rPr>
            </w:pPr>
            <w:r>
              <w:rPr>
                <w:color w:val="auto"/>
                <w:kern w:val="0"/>
                <w:szCs w:val="21"/>
              </w:rPr>
              <w:t>3.正常使用下无电解液漏出，无电池膨胀及破裂；</w:t>
            </w:r>
          </w:p>
          <w:p>
            <w:pPr>
              <w:rPr>
                <w:color w:val="auto"/>
                <w:kern w:val="0"/>
                <w:szCs w:val="21"/>
              </w:rPr>
            </w:pPr>
            <w:r>
              <w:rPr>
                <w:color w:val="auto"/>
                <w:kern w:val="0"/>
                <w:szCs w:val="21"/>
              </w:rPr>
              <w:t>4.蓄电池在使用前一般应进行补充充电，蓄电池最大充电电流不大于 0.25C 10 ，最大补充充电电压不大于 2.40V/单体，蓄电池均衡充电单体电压为 2.30V～2.40V；</w:t>
            </w:r>
          </w:p>
          <w:p>
            <w:pPr>
              <w:rPr>
                <w:color w:val="auto"/>
                <w:kern w:val="0"/>
                <w:szCs w:val="21"/>
              </w:rPr>
            </w:pPr>
            <w:r>
              <w:rPr>
                <w:color w:val="auto"/>
                <w:kern w:val="0"/>
                <w:szCs w:val="21"/>
              </w:rPr>
              <w:t>5.环境温度为 25℃时，蓄电池浮充充电电压为（2.20V～2.27V）/单体；</w:t>
            </w:r>
          </w:p>
          <w:p>
            <w:pPr>
              <w:rPr>
                <w:color w:val="auto"/>
                <w:kern w:val="0"/>
                <w:szCs w:val="21"/>
              </w:rPr>
            </w:pPr>
            <w:r>
              <w:rPr>
                <w:color w:val="auto"/>
                <w:kern w:val="0"/>
                <w:szCs w:val="21"/>
              </w:rPr>
              <w:t>蓄电池充电温度补偿系数宜为（-3mV～-7mV）/℃·单体；</w:t>
            </w:r>
          </w:p>
          <w:p>
            <w:pPr>
              <w:rPr>
                <w:color w:val="auto"/>
                <w:kern w:val="0"/>
                <w:szCs w:val="21"/>
              </w:rPr>
            </w:pPr>
            <w:r>
              <w:rPr>
                <w:color w:val="auto"/>
                <w:kern w:val="0"/>
                <w:szCs w:val="21"/>
              </w:rPr>
              <w:t>6.安全阀应具有自动开启和自动关闭的功能，其开阀压力应在 10kPa～35kPa 范围内，闭阀压力应在3kPa～30kPa 范围内；</w:t>
            </w:r>
          </w:p>
          <w:p>
            <w:pPr>
              <w:rPr>
                <w:color w:val="auto"/>
                <w:kern w:val="0"/>
                <w:szCs w:val="21"/>
              </w:rPr>
            </w:pPr>
            <w:r>
              <w:rPr>
                <w:color w:val="auto"/>
                <w:kern w:val="0"/>
                <w:szCs w:val="21"/>
              </w:rPr>
              <w:t>7.蓄电池应能承受 50kPa 的正压或负压而不破裂、不开胶，压力释放后壳体无残余变形；</w:t>
            </w:r>
          </w:p>
          <w:p>
            <w:pPr>
              <w:rPr>
                <w:color w:val="auto"/>
                <w:kern w:val="0"/>
                <w:szCs w:val="21"/>
              </w:rPr>
            </w:pPr>
            <w:r>
              <w:rPr>
                <w:color w:val="auto"/>
                <w:kern w:val="0"/>
                <w:szCs w:val="21"/>
              </w:rPr>
              <w:t>8.蓄电池以 30I 10 放电 3min，极柱应不熔断、内部汇流排应不熔断，其外观应不出现异常；</w:t>
            </w:r>
          </w:p>
          <w:p>
            <w:pPr>
              <w:rPr>
                <w:color w:val="auto"/>
                <w:kern w:val="0"/>
                <w:szCs w:val="21"/>
              </w:rPr>
            </w:pPr>
            <w:r>
              <w:rPr>
                <w:color w:val="auto"/>
                <w:kern w:val="0"/>
                <w:szCs w:val="21"/>
              </w:rPr>
              <w:t>9.蓄电池进入浮充状态 24h 后各蓄电池之间的端电压差应不大于 90mV(蓄电池组由不多于 24 只2V 蓄电池组成时)、200mV(蓄电池组由多于 24 只 2V 蓄电池组成时)、240mV(6V)、480mV(12V)；</w:t>
            </w:r>
          </w:p>
          <w:p>
            <w:pPr>
              <w:rPr>
                <w:color w:val="auto"/>
                <w:kern w:val="0"/>
                <w:szCs w:val="21"/>
              </w:rPr>
            </w:pPr>
            <w:r>
              <w:rPr>
                <w:color w:val="auto"/>
                <w:kern w:val="0"/>
                <w:szCs w:val="21"/>
              </w:rPr>
              <w:t>10.蓄电池壳、盖的阻燃性能应符合GB/T2408－1996中的要求，壳子/盖子符含UL94HB与UL94V-0标准的ABS材料；</w:t>
            </w:r>
          </w:p>
          <w:p>
            <w:pPr>
              <w:rPr>
                <w:color w:val="auto"/>
                <w:kern w:val="0"/>
                <w:szCs w:val="21"/>
              </w:rPr>
            </w:pPr>
            <w:r>
              <w:rPr>
                <w:color w:val="auto"/>
                <w:kern w:val="0"/>
                <w:szCs w:val="21"/>
              </w:rPr>
              <w:t>11.正负极板，采用铅钙板栅；</w:t>
            </w:r>
          </w:p>
          <w:p>
            <w:pPr>
              <w:rPr>
                <w:color w:val="auto"/>
                <w:kern w:val="0"/>
                <w:szCs w:val="21"/>
              </w:rPr>
            </w:pPr>
            <w:r>
              <w:rPr>
                <w:color w:val="auto"/>
                <w:kern w:val="0"/>
                <w:szCs w:val="21"/>
              </w:rPr>
              <w:t>12.隔板采用AGM隔板；端子采用铜端子；</w:t>
            </w:r>
          </w:p>
          <w:p>
            <w:pPr>
              <w:rPr>
                <w:color w:val="auto"/>
                <w:kern w:val="0"/>
                <w:szCs w:val="21"/>
              </w:rPr>
            </w:pPr>
            <w:r>
              <w:rPr>
                <w:color w:val="auto"/>
                <w:kern w:val="0"/>
                <w:szCs w:val="21"/>
              </w:rPr>
              <w:t>13.蓄电池的容量及其他性能应符合《通信用阀控密封式铅酸蓄电池（YD/T799－2002）》中的规定；</w:t>
            </w:r>
          </w:p>
          <w:p>
            <w:pPr>
              <w:rPr>
                <w:bCs/>
                <w:color w:val="auto"/>
                <w:kern w:val="0"/>
                <w:szCs w:val="21"/>
              </w:rPr>
            </w:pPr>
            <w:r>
              <w:rPr>
                <w:color w:val="auto"/>
                <w:szCs w:val="21"/>
              </w:rPr>
              <w:t>14.为防止电池漏液问题蓄电池需要有电池托盘设计。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23</w:t>
            </w:r>
          </w:p>
        </w:tc>
        <w:tc>
          <w:tcPr>
            <w:tcW w:w="1134" w:type="dxa"/>
            <w:gridSpan w:val="2"/>
            <w:vAlign w:val="center"/>
          </w:tcPr>
          <w:p>
            <w:pPr>
              <w:widowControl/>
              <w:jc w:val="center"/>
              <w:rPr>
                <w:bCs/>
                <w:color w:val="auto"/>
                <w:kern w:val="0"/>
                <w:szCs w:val="21"/>
              </w:rPr>
            </w:pPr>
            <w:r>
              <w:rPr>
                <w:color w:val="auto"/>
                <w:kern w:val="0"/>
                <w:szCs w:val="21"/>
              </w:rPr>
              <w:t>电池箱</w:t>
            </w:r>
          </w:p>
        </w:tc>
        <w:tc>
          <w:tcPr>
            <w:tcW w:w="567" w:type="dxa"/>
            <w:vAlign w:val="center"/>
          </w:tcPr>
          <w:p>
            <w:pPr>
              <w:widowControl/>
              <w:jc w:val="center"/>
              <w:rPr>
                <w:bCs/>
                <w:color w:val="auto"/>
                <w:kern w:val="0"/>
                <w:szCs w:val="21"/>
              </w:rPr>
            </w:pPr>
            <w:r>
              <w:rPr>
                <w:color w:val="auto"/>
                <w:kern w:val="0"/>
                <w:szCs w:val="21"/>
              </w:rPr>
              <w:t>1套</w:t>
            </w:r>
          </w:p>
        </w:tc>
        <w:tc>
          <w:tcPr>
            <w:tcW w:w="7512" w:type="dxa"/>
            <w:vAlign w:val="center"/>
          </w:tcPr>
          <w:p>
            <w:pPr>
              <w:rPr>
                <w:bCs/>
                <w:color w:val="auto"/>
                <w:kern w:val="0"/>
                <w:szCs w:val="21"/>
              </w:rPr>
            </w:pPr>
            <w:r>
              <w:rPr>
                <w:color w:val="auto"/>
                <w:kern w:val="0"/>
                <w:szCs w:val="21"/>
              </w:rPr>
              <w:t>可安装12V100AH电池32只，尺寸：长*宽*高约780mm*880mm*1190mm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24</w:t>
            </w:r>
          </w:p>
        </w:tc>
        <w:tc>
          <w:tcPr>
            <w:tcW w:w="1134" w:type="dxa"/>
            <w:gridSpan w:val="2"/>
            <w:vAlign w:val="center"/>
          </w:tcPr>
          <w:p>
            <w:pPr>
              <w:widowControl/>
              <w:jc w:val="center"/>
              <w:rPr>
                <w:bCs/>
                <w:color w:val="auto"/>
                <w:kern w:val="0"/>
                <w:szCs w:val="21"/>
              </w:rPr>
            </w:pPr>
            <w:r>
              <w:rPr>
                <w:color w:val="auto"/>
                <w:kern w:val="0"/>
                <w:szCs w:val="21"/>
              </w:rPr>
              <w:t>配电柜及电源线</w:t>
            </w:r>
          </w:p>
        </w:tc>
        <w:tc>
          <w:tcPr>
            <w:tcW w:w="567" w:type="dxa"/>
            <w:vAlign w:val="center"/>
          </w:tcPr>
          <w:p>
            <w:pPr>
              <w:widowControl/>
              <w:jc w:val="center"/>
              <w:rPr>
                <w:bCs/>
                <w:color w:val="auto"/>
                <w:kern w:val="0"/>
                <w:szCs w:val="21"/>
              </w:rPr>
            </w:pPr>
            <w:r>
              <w:rPr>
                <w:color w:val="auto"/>
                <w:kern w:val="0"/>
                <w:szCs w:val="21"/>
              </w:rPr>
              <w:t>1项</w:t>
            </w:r>
          </w:p>
        </w:tc>
        <w:tc>
          <w:tcPr>
            <w:tcW w:w="7512" w:type="dxa"/>
            <w:vAlign w:val="top"/>
          </w:tcPr>
          <w:p>
            <w:pPr>
              <w:rPr>
                <w:color w:val="auto"/>
                <w:szCs w:val="21"/>
              </w:rPr>
            </w:pPr>
            <w:r>
              <w:rPr>
                <w:color w:val="auto"/>
                <w:szCs w:val="21"/>
              </w:rPr>
              <w:t>1.专用配电箱供电220V。</w:t>
            </w:r>
          </w:p>
          <w:p>
            <w:pPr>
              <w:rPr>
                <w:color w:val="auto"/>
                <w:szCs w:val="21"/>
              </w:rPr>
            </w:pPr>
            <w:r>
              <w:rPr>
                <w:color w:val="auto"/>
                <w:szCs w:val="21"/>
              </w:rPr>
              <w:t>2.要求具有接地。</w:t>
            </w:r>
          </w:p>
          <w:p>
            <w:pPr>
              <w:rPr>
                <w:bCs/>
                <w:color w:val="auto"/>
                <w:kern w:val="0"/>
                <w:szCs w:val="21"/>
              </w:rPr>
            </w:pPr>
            <w:r>
              <w:rPr>
                <w:color w:val="auto"/>
                <w:szCs w:val="21"/>
              </w:rPr>
              <w:t>3.UPS供电10平方电线约300米，UPS供电2.5平方接地线约150米。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25</w:t>
            </w:r>
          </w:p>
        </w:tc>
        <w:tc>
          <w:tcPr>
            <w:tcW w:w="1134" w:type="dxa"/>
            <w:gridSpan w:val="2"/>
            <w:vAlign w:val="center"/>
          </w:tcPr>
          <w:p>
            <w:pPr>
              <w:widowControl/>
              <w:jc w:val="center"/>
              <w:rPr>
                <w:bCs/>
                <w:color w:val="auto"/>
                <w:kern w:val="0"/>
                <w:szCs w:val="21"/>
              </w:rPr>
            </w:pPr>
            <w:r>
              <w:rPr>
                <w:color w:val="auto"/>
                <w:kern w:val="0"/>
                <w:szCs w:val="21"/>
              </w:rPr>
              <w:t>汇聚交换机</w:t>
            </w:r>
          </w:p>
        </w:tc>
        <w:tc>
          <w:tcPr>
            <w:tcW w:w="567" w:type="dxa"/>
            <w:vAlign w:val="center"/>
          </w:tcPr>
          <w:p>
            <w:pPr>
              <w:widowControl/>
              <w:jc w:val="center"/>
              <w:rPr>
                <w:bCs/>
                <w:color w:val="auto"/>
                <w:kern w:val="0"/>
                <w:szCs w:val="21"/>
              </w:rPr>
            </w:pPr>
            <w:r>
              <w:rPr>
                <w:color w:val="auto"/>
                <w:kern w:val="0"/>
                <w:szCs w:val="21"/>
              </w:rPr>
              <w:t>1台</w:t>
            </w:r>
          </w:p>
        </w:tc>
        <w:tc>
          <w:tcPr>
            <w:tcW w:w="7512" w:type="dxa"/>
            <w:vAlign w:val="top"/>
          </w:tcPr>
          <w:p>
            <w:pPr>
              <w:rPr>
                <w:color w:val="auto"/>
                <w:szCs w:val="21"/>
              </w:rPr>
            </w:pPr>
            <w:r>
              <w:rPr>
                <w:color w:val="auto"/>
                <w:szCs w:val="21"/>
              </w:rPr>
              <w:t>1.固化10/100/1000M以太网端口≥24，固化1G/10G SFP+万兆光接口≥4个；整机最大可用千兆口≥24，最大可用万兆口≥4；</w:t>
            </w:r>
          </w:p>
          <w:p>
            <w:pPr>
              <w:rPr>
                <w:color w:val="auto"/>
                <w:szCs w:val="21"/>
              </w:rPr>
            </w:pPr>
            <w:r>
              <w:rPr>
                <w:color w:val="auto"/>
                <w:szCs w:val="21"/>
              </w:rPr>
              <w:t>2.支持RIP/RIPng、策略路由等三层路由协议；</w:t>
            </w:r>
          </w:p>
          <w:p>
            <w:pPr>
              <w:rPr>
                <w:color w:val="auto"/>
                <w:szCs w:val="21"/>
              </w:rPr>
            </w:pPr>
            <w:r>
              <w:rPr>
                <w:color w:val="auto"/>
                <w:szCs w:val="21"/>
              </w:rPr>
              <w:t>3.交换容量≥3Tbps，转发率≥120Mpps；</w:t>
            </w:r>
          </w:p>
          <w:p>
            <w:pPr>
              <w:rPr>
                <w:color w:val="auto"/>
                <w:szCs w:val="21"/>
              </w:rPr>
            </w:pPr>
            <w:r>
              <w:rPr>
                <w:color w:val="auto"/>
                <w:szCs w:val="21"/>
              </w:rPr>
              <w:t>4.支持基于端口的出方向和入方向限速，限端口速粒度≤64Kbps；</w:t>
            </w:r>
          </w:p>
          <w:p>
            <w:pPr>
              <w:rPr>
                <w:color w:val="auto"/>
                <w:szCs w:val="21"/>
              </w:rPr>
            </w:pPr>
            <w:r>
              <w:rPr>
                <w:color w:val="auto"/>
                <w:szCs w:val="21"/>
              </w:rPr>
              <w:t>5.支持基于流的出方向和入方向限速，且流限速粒度≤8Kbps；</w:t>
            </w:r>
          </w:p>
          <w:p>
            <w:pPr>
              <w:rPr>
                <w:color w:val="auto"/>
                <w:szCs w:val="21"/>
              </w:rPr>
            </w:pPr>
            <w:r>
              <w:rPr>
                <w:color w:val="auto"/>
                <w:szCs w:val="21"/>
              </w:rPr>
              <w:t xml:space="preserve">6.支持虚拟化功能，非堆叠模块实现，不占用扩展槽； </w:t>
            </w:r>
          </w:p>
          <w:p>
            <w:pPr>
              <w:rPr>
                <w:color w:val="auto"/>
                <w:szCs w:val="21"/>
              </w:rPr>
            </w:pPr>
            <w:r>
              <w:rPr>
                <w:color w:val="auto"/>
                <w:szCs w:val="21"/>
              </w:rPr>
              <w:t>7. 符合国家低碳环保等政策要求，支持IEEE 802.3az标准的EEE节能技术；</w:t>
            </w:r>
          </w:p>
          <w:p>
            <w:pPr>
              <w:rPr>
                <w:color w:val="auto"/>
                <w:szCs w:val="21"/>
              </w:rPr>
            </w:pPr>
            <w:r>
              <w:rPr>
                <w:color w:val="auto"/>
                <w:szCs w:val="21"/>
              </w:rPr>
              <w:t>8.支持线缆检测，可对线路进行正常、短路、断路、半断开状态进行检测；</w:t>
            </w:r>
          </w:p>
          <w:p>
            <w:pPr>
              <w:rPr>
                <w:color w:val="auto"/>
                <w:szCs w:val="21"/>
              </w:rPr>
            </w:pPr>
            <w:r>
              <w:rPr>
                <w:color w:val="auto"/>
                <w:szCs w:val="21"/>
              </w:rPr>
              <w:t>9.支持软件定义网络SDN，符合OpenFlow 1.3协议标准，支持SDN和SDN Ready功能</w:t>
            </w:r>
          </w:p>
          <w:p>
            <w:pPr>
              <w:rPr>
                <w:color w:val="auto"/>
                <w:szCs w:val="21"/>
              </w:rPr>
            </w:pPr>
            <w:r>
              <w:rPr>
                <w:rFonts w:hint="eastAsia" w:eastAsia="黑体"/>
                <w:b/>
                <w:color w:val="auto"/>
                <w:sz w:val="24"/>
                <w:szCs w:val="21"/>
              </w:rPr>
              <w:t>＃</w:t>
            </w:r>
            <w:r>
              <w:rPr>
                <w:color w:val="auto"/>
                <w:szCs w:val="21"/>
              </w:rPr>
              <w:t>10.交换机采用内置防雷技术，要求支持防雷能力，业务端口防雷不低于8kv；</w:t>
            </w:r>
          </w:p>
          <w:p>
            <w:pPr>
              <w:rPr>
                <w:bCs/>
                <w:color w:val="auto"/>
                <w:kern w:val="0"/>
                <w:szCs w:val="21"/>
              </w:rPr>
            </w:pPr>
            <w:r>
              <w:rPr>
                <w:color w:val="auto"/>
                <w:szCs w:val="21"/>
              </w:rPr>
              <w:t>11.设备自带云管理功能，支持一键设备发现。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26</w:t>
            </w:r>
          </w:p>
        </w:tc>
        <w:tc>
          <w:tcPr>
            <w:tcW w:w="1134" w:type="dxa"/>
            <w:gridSpan w:val="2"/>
            <w:vAlign w:val="center"/>
          </w:tcPr>
          <w:p>
            <w:pPr>
              <w:widowControl/>
              <w:jc w:val="center"/>
              <w:rPr>
                <w:bCs/>
                <w:color w:val="auto"/>
                <w:kern w:val="0"/>
                <w:szCs w:val="21"/>
              </w:rPr>
            </w:pPr>
            <w:r>
              <w:rPr>
                <w:color w:val="auto"/>
                <w:szCs w:val="21"/>
              </w:rPr>
              <w:t>系统集成</w:t>
            </w:r>
          </w:p>
        </w:tc>
        <w:tc>
          <w:tcPr>
            <w:tcW w:w="567" w:type="dxa"/>
            <w:vAlign w:val="center"/>
          </w:tcPr>
          <w:p>
            <w:pPr>
              <w:widowControl/>
              <w:jc w:val="center"/>
              <w:rPr>
                <w:bCs/>
                <w:color w:val="auto"/>
                <w:kern w:val="0"/>
                <w:szCs w:val="21"/>
              </w:rPr>
            </w:pPr>
            <w:r>
              <w:rPr>
                <w:color w:val="auto"/>
                <w:kern w:val="0"/>
                <w:szCs w:val="21"/>
              </w:rPr>
              <w:t>1项</w:t>
            </w:r>
          </w:p>
        </w:tc>
        <w:tc>
          <w:tcPr>
            <w:tcW w:w="7512" w:type="dxa"/>
            <w:vAlign w:val="top"/>
          </w:tcPr>
          <w:p>
            <w:pPr>
              <w:rPr>
                <w:color w:val="auto"/>
                <w:kern w:val="0"/>
                <w:szCs w:val="21"/>
              </w:rPr>
            </w:pPr>
            <w:r>
              <w:rPr>
                <w:color w:val="auto"/>
                <w:kern w:val="0"/>
                <w:szCs w:val="21"/>
              </w:rPr>
              <w:t>标准化考点系统安装材料、安装、培训及接入费用。</w:t>
            </w:r>
          </w:p>
          <w:p>
            <w:pPr>
              <w:rPr>
                <w:color w:val="auto"/>
                <w:kern w:val="0"/>
                <w:szCs w:val="21"/>
              </w:rPr>
            </w:pPr>
            <w:r>
              <w:rPr>
                <w:color w:val="auto"/>
                <w:kern w:val="0"/>
                <w:szCs w:val="21"/>
              </w:rPr>
              <w:t>1.提供施工图供采购人审核方可施工。</w:t>
            </w:r>
          </w:p>
          <w:p>
            <w:pPr>
              <w:rPr>
                <w:bCs/>
                <w:color w:val="auto"/>
                <w:kern w:val="0"/>
                <w:szCs w:val="21"/>
              </w:rPr>
            </w:pPr>
            <w:r>
              <w:rPr>
                <w:color w:val="auto"/>
                <w:kern w:val="0"/>
                <w:szCs w:val="21"/>
              </w:rPr>
              <w:t>2.本项目为独立电源供电，共116间教室，电源线主干线（16平方）6000米，电源线主干线（6平方）2500米，电源线主干线（4平方）25000米，电源线主干线（0.75平方）10000米。按照施工图配置路由器、交换机、光纤收发器、光纤、电源线、配电箱、网线、音/视频线、网络机柜、安装辅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27</w:t>
            </w:r>
          </w:p>
        </w:tc>
        <w:tc>
          <w:tcPr>
            <w:tcW w:w="1134" w:type="dxa"/>
            <w:gridSpan w:val="2"/>
            <w:vAlign w:val="center"/>
          </w:tcPr>
          <w:p>
            <w:pPr>
              <w:widowControl/>
              <w:jc w:val="center"/>
              <w:rPr>
                <w:bCs/>
                <w:color w:val="auto"/>
                <w:kern w:val="0"/>
                <w:szCs w:val="21"/>
              </w:rPr>
            </w:pPr>
            <w:r>
              <w:rPr>
                <w:color w:val="auto"/>
                <w:kern w:val="0"/>
                <w:szCs w:val="21"/>
              </w:rPr>
              <w:t>网络广播中心</w:t>
            </w:r>
          </w:p>
        </w:tc>
        <w:tc>
          <w:tcPr>
            <w:tcW w:w="567" w:type="dxa"/>
            <w:vAlign w:val="center"/>
          </w:tcPr>
          <w:p>
            <w:pPr>
              <w:widowControl/>
              <w:jc w:val="center"/>
              <w:rPr>
                <w:bCs/>
                <w:color w:val="auto"/>
                <w:kern w:val="0"/>
                <w:szCs w:val="21"/>
              </w:rPr>
            </w:pPr>
            <w:r>
              <w:rPr>
                <w:color w:val="auto"/>
                <w:kern w:val="0"/>
                <w:szCs w:val="21"/>
              </w:rPr>
              <w:t>1台</w:t>
            </w:r>
          </w:p>
        </w:tc>
        <w:tc>
          <w:tcPr>
            <w:tcW w:w="7512" w:type="dxa"/>
            <w:vAlign w:val="top"/>
          </w:tcPr>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1.网络广播中心主机硬件性能要求：</w:t>
            </w:r>
          </w:p>
          <w:p>
            <w:pPr>
              <w:pStyle w:val="148"/>
              <w:ind w:firstLine="0" w:firstLineChars="0"/>
              <w:rPr>
                <w:rFonts w:ascii="Times New Roman" w:hAnsi="Times New Roman"/>
                <w:color w:val="auto"/>
                <w:kern w:val="0"/>
                <w:szCs w:val="21"/>
                <w:lang w:bidi="ar"/>
              </w:rPr>
            </w:pPr>
            <w:r>
              <w:rPr>
                <w:rFonts w:hint="eastAsia" w:eastAsia="黑体"/>
                <w:b/>
                <w:color w:val="auto"/>
                <w:sz w:val="24"/>
                <w:szCs w:val="21"/>
              </w:rPr>
              <w:t>＃</w:t>
            </w:r>
            <w:r>
              <w:rPr>
                <w:rFonts w:ascii="Times New Roman" w:hAnsi="Times New Roman"/>
                <w:color w:val="auto"/>
                <w:kern w:val="0"/>
                <w:szCs w:val="21"/>
                <w:lang w:bidi="ar"/>
              </w:rPr>
              <w:t>1.1主机采用工控≥5U机箱设计，采用全模块化设计：至少含≥4路音频采集模块、监听模块（连接无源定阻音箱直接进行监听功能）、硬盘卡模块（硬盘大小可根据实际情况进行机动升级）、电源主/备扩展模块、双网口交换机数据交换卡模块</w:t>
            </w:r>
            <w:r>
              <w:rPr>
                <w:rFonts w:hint="eastAsia" w:ascii="Times New Roman" w:hAnsi="Times New Roman"/>
                <w:color w:val="auto"/>
                <w:kern w:val="0"/>
                <w:szCs w:val="21"/>
                <w:lang w:bidi="ar"/>
              </w:rPr>
              <w:t>，</w:t>
            </w:r>
            <w:r>
              <w:rPr>
                <w:rFonts w:ascii="Times New Roman" w:hAnsi="Times New Roman"/>
                <w:color w:val="auto"/>
              </w:rPr>
              <w:t>提供产品面板实物彩色图片标示此功能要求并加盖投标单位公章</w:t>
            </w:r>
            <w:r>
              <w:rPr>
                <w:rFonts w:ascii="Times New Roman" w:hAnsi="Times New Roman"/>
                <w:color w:val="auto"/>
                <w:kern w:val="0"/>
                <w:szCs w:val="21"/>
                <w:lang w:bidi="ar"/>
              </w:rPr>
              <w:t>；</w:t>
            </w:r>
          </w:p>
          <w:p>
            <w:pPr>
              <w:pStyle w:val="148"/>
              <w:ind w:firstLine="0" w:firstLineChars="0"/>
              <w:rPr>
                <w:rFonts w:ascii="Times New Roman" w:hAnsi="Times New Roman"/>
                <w:color w:val="auto"/>
                <w:kern w:val="0"/>
                <w:szCs w:val="21"/>
                <w:lang w:bidi="ar"/>
              </w:rPr>
            </w:pPr>
            <w:r>
              <w:rPr>
                <w:rFonts w:hint="eastAsia" w:eastAsia="黑体"/>
                <w:b/>
                <w:color w:val="auto"/>
                <w:sz w:val="24"/>
                <w:szCs w:val="21"/>
              </w:rPr>
              <w:t>＃</w:t>
            </w:r>
            <w:r>
              <w:rPr>
                <w:rFonts w:ascii="Times New Roman" w:hAnsi="Times New Roman"/>
                <w:color w:val="auto"/>
                <w:kern w:val="0"/>
                <w:szCs w:val="21"/>
                <w:lang w:bidi="ar"/>
              </w:rPr>
              <w:t>1.2≥16寸触摸高清液晶电容触摸显示屏，以局域网/互联网为主要传输媒介，全数字传输，</w:t>
            </w:r>
            <w:r>
              <w:rPr>
                <w:rFonts w:ascii="Times New Roman" w:hAnsi="Times New Roman"/>
                <w:color w:val="auto"/>
              </w:rPr>
              <w:t>提供产品面板实物彩色图片标示此功能要求并加盖投标单位公章</w:t>
            </w:r>
            <w:r>
              <w:rPr>
                <w:rFonts w:ascii="Times New Roman" w:hAnsi="Times New Roman"/>
                <w:color w:val="auto"/>
                <w:kern w:val="0"/>
                <w:szCs w:val="21"/>
                <w:lang w:bidi="ar"/>
              </w:rPr>
              <w:t>；</w:t>
            </w:r>
          </w:p>
          <w:p>
            <w:pPr>
              <w:pStyle w:val="148"/>
              <w:ind w:firstLine="0" w:firstLineChars="0"/>
              <w:rPr>
                <w:rFonts w:ascii="Times New Roman" w:hAnsi="Times New Roman"/>
                <w:color w:val="auto"/>
                <w:kern w:val="0"/>
                <w:szCs w:val="21"/>
                <w:lang w:bidi="ar"/>
              </w:rPr>
            </w:pPr>
            <w:r>
              <w:rPr>
                <w:rFonts w:hint="eastAsia" w:eastAsia="黑体"/>
                <w:b/>
                <w:color w:val="auto"/>
                <w:sz w:val="24"/>
                <w:szCs w:val="21"/>
              </w:rPr>
              <w:t>＃</w:t>
            </w:r>
            <w:r>
              <w:rPr>
                <w:rFonts w:ascii="Times New Roman" w:hAnsi="Times New Roman"/>
                <w:color w:val="auto"/>
                <w:kern w:val="0"/>
                <w:szCs w:val="21"/>
                <w:lang w:bidi="ar"/>
              </w:rPr>
              <w:t>1.3.≥2路网络冗余备份端口，具有网络线路故障检测与自动选择功能，支持100M/10M自适应TCP/IP传输网络，</w:t>
            </w:r>
            <w:r>
              <w:rPr>
                <w:rFonts w:ascii="Times New Roman" w:hAnsi="Times New Roman"/>
                <w:color w:val="auto"/>
              </w:rPr>
              <w:t>提供产品面板实物彩色图片标示此功能要求并加盖投标单位公章</w:t>
            </w:r>
            <w:r>
              <w:rPr>
                <w:rFonts w:ascii="Times New Roman" w:hAnsi="Times New Roman"/>
                <w:color w:val="auto"/>
                <w:kern w:val="0"/>
                <w:szCs w:val="21"/>
                <w:lang w:bidi="ar"/>
              </w:rPr>
              <w:t>；</w:t>
            </w:r>
          </w:p>
          <w:p>
            <w:pPr>
              <w:pStyle w:val="148"/>
              <w:ind w:firstLine="0" w:firstLineChars="0"/>
              <w:rPr>
                <w:rFonts w:ascii="Times New Roman" w:hAnsi="Times New Roman"/>
                <w:color w:val="auto"/>
                <w:kern w:val="0"/>
                <w:szCs w:val="21"/>
                <w:lang w:bidi="ar"/>
              </w:rPr>
            </w:pPr>
            <w:r>
              <w:rPr>
                <w:rFonts w:hint="eastAsia" w:eastAsia="黑体"/>
                <w:b/>
                <w:color w:val="auto"/>
                <w:sz w:val="24"/>
                <w:szCs w:val="21"/>
              </w:rPr>
              <w:t>＃</w:t>
            </w:r>
            <w:r>
              <w:rPr>
                <w:rFonts w:ascii="Times New Roman" w:hAnsi="Times New Roman"/>
                <w:color w:val="auto"/>
                <w:kern w:val="0"/>
                <w:szCs w:val="21"/>
                <w:lang w:bidi="ar"/>
              </w:rPr>
              <w:t>1.4.前面板设置机械式一键报警按钮，触发全区告警和手动告警功能（依据国标《GB50526》要求，紧急情况下保障考生安全的重要功能），</w:t>
            </w:r>
            <w:r>
              <w:rPr>
                <w:rFonts w:ascii="Times New Roman" w:hAnsi="Times New Roman"/>
                <w:color w:val="auto"/>
              </w:rPr>
              <w:t>提供产品面板实物彩色图片标示此功能要求并加盖投标单位公章</w:t>
            </w:r>
            <w:r>
              <w:rPr>
                <w:rFonts w:ascii="Times New Roman" w:hAnsi="Times New Roman"/>
                <w:color w:val="auto"/>
                <w:kern w:val="0"/>
                <w:szCs w:val="21"/>
                <w:lang w:bidi="ar"/>
              </w:rPr>
              <w:t>；</w:t>
            </w:r>
          </w:p>
          <w:p>
            <w:pPr>
              <w:pStyle w:val="148"/>
              <w:ind w:firstLine="0" w:firstLineChars="0"/>
              <w:rPr>
                <w:rFonts w:ascii="Times New Roman" w:hAnsi="Times New Roman"/>
                <w:color w:val="auto"/>
                <w:kern w:val="0"/>
                <w:szCs w:val="21"/>
                <w:lang w:bidi="ar"/>
              </w:rPr>
            </w:pPr>
            <w:r>
              <w:rPr>
                <w:rFonts w:hint="eastAsia" w:eastAsia="黑体"/>
                <w:b/>
                <w:color w:val="auto"/>
                <w:sz w:val="24"/>
                <w:szCs w:val="21"/>
              </w:rPr>
              <w:t>＃</w:t>
            </w:r>
            <w:r>
              <w:rPr>
                <w:rFonts w:ascii="Times New Roman" w:hAnsi="Times New Roman"/>
                <w:color w:val="auto"/>
                <w:kern w:val="0"/>
                <w:szCs w:val="21"/>
                <w:lang w:bidi="ar"/>
              </w:rPr>
              <w:t>1.5.主机≥4个独立的6.5MM音频输入通道和≥2个辅助混合6.5MM音频输入通道，可无限拓展外接音源采集，可任意分配，可利用网络终端来扩展音频输入通道，内置CD(INNER CD)和内置特种音源，外接音源输入音量可调，</w:t>
            </w:r>
            <w:r>
              <w:rPr>
                <w:rFonts w:ascii="Times New Roman" w:hAnsi="Times New Roman"/>
                <w:color w:val="auto"/>
              </w:rPr>
              <w:t>提供产品面板实物彩色图片标示此功能要求并加盖投标单位公章</w:t>
            </w:r>
            <w:r>
              <w:rPr>
                <w:rFonts w:ascii="Times New Roman" w:hAnsi="Times New Roman"/>
                <w:color w:val="auto"/>
                <w:kern w:val="0"/>
                <w:szCs w:val="21"/>
                <w:lang w:bidi="ar"/>
              </w:rPr>
              <w:t>；</w:t>
            </w:r>
          </w:p>
          <w:p>
            <w:pPr>
              <w:pStyle w:val="148"/>
              <w:ind w:firstLine="0" w:firstLineChars="0"/>
              <w:rPr>
                <w:rFonts w:ascii="Times New Roman" w:hAnsi="Times New Roman"/>
                <w:color w:val="auto"/>
                <w:kern w:val="0"/>
                <w:szCs w:val="21"/>
                <w:lang w:bidi="ar"/>
              </w:rPr>
            </w:pPr>
            <w:r>
              <w:rPr>
                <w:rFonts w:hint="eastAsia" w:eastAsia="黑体"/>
                <w:b/>
                <w:color w:val="auto"/>
                <w:sz w:val="24"/>
                <w:szCs w:val="21"/>
              </w:rPr>
              <w:t>＃</w:t>
            </w:r>
            <w:r>
              <w:rPr>
                <w:rFonts w:ascii="Times New Roman" w:hAnsi="Times New Roman"/>
                <w:color w:val="auto"/>
                <w:kern w:val="0"/>
                <w:szCs w:val="21"/>
                <w:lang w:bidi="ar"/>
              </w:rPr>
              <w:t>1.6.主机设备提供≥4路电源输出，并可对每路电源进行管理</w:t>
            </w:r>
            <w:r>
              <w:rPr>
                <w:rFonts w:hint="eastAsia" w:ascii="Times New Roman" w:hAnsi="Times New Roman"/>
                <w:color w:val="auto"/>
                <w:kern w:val="0"/>
                <w:szCs w:val="21"/>
                <w:lang w:bidi="ar"/>
              </w:rPr>
              <w:t>,</w:t>
            </w:r>
            <w:r>
              <w:rPr>
                <w:rFonts w:ascii="Times New Roman" w:hAnsi="Times New Roman"/>
                <w:color w:val="auto"/>
              </w:rPr>
              <w:t>提供产品面板实物彩色图片标示此功能要求并加盖投标单位公章</w:t>
            </w:r>
            <w:r>
              <w:rPr>
                <w:rFonts w:ascii="Times New Roman" w:hAnsi="Times New Roman"/>
                <w:color w:val="auto"/>
                <w:kern w:val="0"/>
                <w:szCs w:val="21"/>
                <w:lang w:bidi="ar"/>
              </w:rPr>
              <w:t>；</w:t>
            </w:r>
          </w:p>
          <w:p>
            <w:pPr>
              <w:pStyle w:val="148"/>
              <w:ind w:firstLine="0" w:firstLineChars="0"/>
              <w:rPr>
                <w:rFonts w:ascii="Times New Roman" w:hAnsi="Times New Roman"/>
                <w:color w:val="auto"/>
                <w:kern w:val="0"/>
                <w:szCs w:val="21"/>
                <w:lang w:bidi="ar"/>
              </w:rPr>
            </w:pPr>
            <w:r>
              <w:rPr>
                <w:rFonts w:hint="eastAsia" w:eastAsia="黑体"/>
                <w:b/>
                <w:color w:val="auto"/>
                <w:sz w:val="24"/>
                <w:szCs w:val="21"/>
              </w:rPr>
              <w:t>＃</w:t>
            </w:r>
            <w:r>
              <w:rPr>
                <w:rFonts w:ascii="Times New Roman" w:hAnsi="Times New Roman"/>
                <w:color w:val="auto"/>
                <w:kern w:val="0"/>
                <w:szCs w:val="21"/>
                <w:lang w:bidi="ar"/>
              </w:rPr>
              <w:t>1.7.支持中、英文多种语言切换功能，</w:t>
            </w:r>
            <w:r>
              <w:rPr>
                <w:rFonts w:ascii="Times New Roman" w:hAnsi="Times New Roman"/>
                <w:color w:val="auto"/>
              </w:rPr>
              <w:t>提供产品面板实物彩色图片标示此功能要求并加盖投标单位公章</w:t>
            </w:r>
            <w:r>
              <w:rPr>
                <w:rFonts w:ascii="Times New Roman" w:hAnsi="Times New Roman"/>
                <w:color w:val="auto"/>
                <w:kern w:val="0"/>
                <w:szCs w:val="21"/>
                <w:lang w:bidi="ar"/>
              </w:rPr>
              <w:t>；</w:t>
            </w:r>
          </w:p>
          <w:p>
            <w:pPr>
              <w:pStyle w:val="148"/>
              <w:ind w:firstLine="0" w:firstLineChars="0"/>
              <w:rPr>
                <w:rFonts w:ascii="Times New Roman" w:hAnsi="Times New Roman"/>
                <w:color w:val="auto"/>
                <w:kern w:val="0"/>
                <w:szCs w:val="21"/>
                <w:lang w:bidi="ar"/>
              </w:rPr>
            </w:pPr>
            <w:r>
              <w:rPr>
                <w:rFonts w:hint="eastAsia" w:eastAsia="黑体"/>
                <w:b/>
                <w:color w:val="auto"/>
                <w:sz w:val="24"/>
                <w:szCs w:val="21"/>
              </w:rPr>
              <w:t>＃</w:t>
            </w:r>
            <w:r>
              <w:rPr>
                <w:rFonts w:ascii="Times New Roman" w:hAnsi="Times New Roman"/>
                <w:color w:val="auto"/>
                <w:kern w:val="0"/>
                <w:szCs w:val="21"/>
                <w:lang w:bidi="ar"/>
              </w:rPr>
              <w:t>1.8.含内置CD播放器，具有CD播放器控制界面</w:t>
            </w:r>
            <w:r>
              <w:rPr>
                <w:rFonts w:hint="eastAsia" w:ascii="Times New Roman" w:hAnsi="Times New Roman"/>
                <w:color w:val="auto"/>
                <w:kern w:val="0"/>
                <w:szCs w:val="21"/>
                <w:lang w:bidi="ar"/>
              </w:rPr>
              <w:t>,</w:t>
            </w:r>
            <w:r>
              <w:rPr>
                <w:rFonts w:ascii="Times New Roman" w:hAnsi="Times New Roman"/>
                <w:color w:val="auto"/>
              </w:rPr>
              <w:t>提供产品面板实物彩色图片标示此功能要求并加盖投标单位公章</w:t>
            </w:r>
            <w:r>
              <w:rPr>
                <w:rFonts w:ascii="Times New Roman" w:hAnsi="Times New Roman"/>
                <w:color w:val="auto"/>
                <w:kern w:val="0"/>
                <w:szCs w:val="21"/>
                <w:lang w:bidi="ar"/>
              </w:rPr>
              <w:t>；</w:t>
            </w:r>
          </w:p>
          <w:p>
            <w:pPr>
              <w:pStyle w:val="148"/>
              <w:ind w:firstLine="0" w:firstLineChars="0"/>
              <w:rPr>
                <w:rFonts w:ascii="Times New Roman" w:hAnsi="Times New Roman"/>
                <w:color w:val="auto"/>
                <w:kern w:val="0"/>
                <w:szCs w:val="21"/>
                <w:lang w:bidi="ar"/>
              </w:rPr>
            </w:pPr>
            <w:r>
              <w:rPr>
                <w:rFonts w:hint="eastAsia" w:eastAsia="黑体"/>
                <w:b/>
                <w:color w:val="auto"/>
                <w:sz w:val="24"/>
                <w:szCs w:val="21"/>
              </w:rPr>
              <w:t>＃</w:t>
            </w:r>
            <w:r>
              <w:rPr>
                <w:rFonts w:ascii="Times New Roman" w:hAnsi="Times New Roman"/>
                <w:color w:val="auto"/>
                <w:kern w:val="0"/>
                <w:szCs w:val="21"/>
                <w:lang w:bidi="ar"/>
              </w:rPr>
              <w:t>1.9.具有多级音源优先管理功能，≥7级优先等级，</w:t>
            </w:r>
            <w:r>
              <w:rPr>
                <w:rFonts w:ascii="Times New Roman" w:hAnsi="Times New Roman"/>
                <w:color w:val="auto"/>
              </w:rPr>
              <w:t>提供产品面板实物彩色图片标示此功能要求并加盖投标单位公章</w:t>
            </w:r>
            <w:r>
              <w:rPr>
                <w:rFonts w:ascii="Times New Roman" w:hAnsi="Times New Roman"/>
                <w:color w:val="auto"/>
                <w:kern w:val="0"/>
                <w:szCs w:val="21"/>
                <w:lang w:bidi="ar"/>
              </w:rPr>
              <w:t>；</w:t>
            </w:r>
          </w:p>
          <w:p>
            <w:pPr>
              <w:pStyle w:val="148"/>
              <w:ind w:firstLine="0" w:firstLineChars="0"/>
              <w:rPr>
                <w:rFonts w:ascii="Times New Roman" w:hAnsi="Times New Roman"/>
                <w:color w:val="auto"/>
                <w:kern w:val="0"/>
                <w:szCs w:val="21"/>
                <w:lang w:bidi="ar"/>
              </w:rPr>
            </w:pPr>
            <w:r>
              <w:rPr>
                <w:rFonts w:hint="eastAsia" w:eastAsia="黑体"/>
                <w:b/>
                <w:color w:val="auto"/>
                <w:sz w:val="24"/>
                <w:szCs w:val="21"/>
              </w:rPr>
              <w:t>＃</w:t>
            </w:r>
            <w:r>
              <w:rPr>
                <w:rFonts w:ascii="Times New Roman" w:hAnsi="Times New Roman"/>
                <w:color w:val="auto"/>
                <w:kern w:val="0"/>
                <w:szCs w:val="21"/>
                <w:lang w:bidi="ar"/>
              </w:rPr>
              <w:t>1.10.≥2个外接USB接口，可连接其它扩展音源设备，</w:t>
            </w:r>
            <w:r>
              <w:rPr>
                <w:rFonts w:ascii="Times New Roman" w:hAnsi="Times New Roman"/>
                <w:color w:val="auto"/>
              </w:rPr>
              <w:t>提供产品面板实物彩色图片标示此功能要求并加盖投标单位公章</w:t>
            </w:r>
            <w:r>
              <w:rPr>
                <w:rFonts w:ascii="Times New Roman" w:hAnsi="Times New Roman"/>
                <w:color w:val="auto"/>
                <w:kern w:val="0"/>
                <w:szCs w:val="21"/>
                <w:lang w:bidi="ar"/>
              </w:rPr>
              <w:t>；</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2.网络广播中心主机操作性能要求：</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2.1.一体化触摸屏、鼠标等操作方式，适合不同的</w:t>
            </w:r>
            <w:r>
              <w:rPr>
                <w:rFonts w:hint="eastAsia" w:ascii="Times New Roman" w:hAnsi="Times New Roman"/>
                <w:color w:val="auto"/>
                <w:kern w:val="0"/>
                <w:szCs w:val="21"/>
                <w:lang w:bidi="ar"/>
              </w:rPr>
              <w:t>人员</w:t>
            </w:r>
            <w:r>
              <w:rPr>
                <w:rFonts w:ascii="Times New Roman" w:hAnsi="Times New Roman"/>
                <w:color w:val="auto"/>
                <w:kern w:val="0"/>
                <w:szCs w:val="21"/>
                <w:lang w:bidi="ar"/>
              </w:rPr>
              <w:t>操作；</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2.2.强大的广播矩阵，内置大容量节目源空间，可根据</w:t>
            </w:r>
            <w:r>
              <w:rPr>
                <w:rFonts w:hint="eastAsia" w:ascii="Times New Roman" w:hAnsi="Times New Roman"/>
                <w:color w:val="auto"/>
                <w:kern w:val="0"/>
                <w:szCs w:val="21"/>
                <w:lang w:bidi="ar"/>
              </w:rPr>
              <w:t>采购人</w:t>
            </w:r>
            <w:r>
              <w:rPr>
                <w:rFonts w:ascii="Times New Roman" w:hAnsi="Times New Roman"/>
                <w:color w:val="auto"/>
                <w:kern w:val="0"/>
                <w:szCs w:val="21"/>
                <w:lang w:bidi="ar"/>
              </w:rPr>
              <w:t>需要定制节目源；</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2.3.内置定压输出功放与辅助音源输出，可输出内容包括监听、节目播放，可灵活使用；</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2.4.采购人可以自己制作节目源，可以通过本机录制，亦可从远程控制</w:t>
            </w:r>
            <w:r>
              <w:rPr>
                <w:rFonts w:ascii="Times New Roman" w:hAnsi="Times New Roman"/>
                <w:color w:val="auto"/>
                <w:kern w:val="0"/>
                <w:szCs w:val="21"/>
              </w:rPr>
              <w:t>网络广播中心</w:t>
            </w:r>
            <w:r>
              <w:rPr>
                <w:rFonts w:ascii="Times New Roman" w:hAnsi="Times New Roman"/>
                <w:color w:val="auto"/>
                <w:kern w:val="0"/>
                <w:szCs w:val="21"/>
                <w:lang w:bidi="ar"/>
              </w:rPr>
              <w:t>上复制；</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2.5.支持终端定时点备份功能，定时点的内容能自动备份到网络播放终端上；</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2.6.具有日志查看功能，可查看设备的操作与运行情况；</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2.7.主机可以对各个定时点音量大小进行独立控制；</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2.8.终端断线后自动恢复断线前的播放节目；</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2.9.具有手持式紧急话筒，并具有业务、紧急告警自动切换功能，当紧急报警时，话筒具有智能电平EMC优先级；</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2.10.可设定播放终端的EMC 24V或短路强播输出信号与多级优先节目源的相互联系，并可设定延时时间关闭功能；</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2.11.可设定自动屏保并锁定功能，节能环保；</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2.12.可设定采购人密码，预防非操作人员误操作；</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2.13.支持跨网段网络传输，适应学校、企业等多网段的局域网；</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3.为保证采购人统一管理和长远规划的需求，保障在不同校区的考场能应用同融合平台同时考试，须与明秀校区/五合校区标准化考场设备无缝兼容，明秀校区/五合校区使用的标准化控制设备（名称-品牌-型号）有：融合系统广播集控服务器DSPPA-MAG6182II、数字音频广播站DSPPA-MAG6588、融合平台软件DSPPA-MAG6100、网络广播终端DSPPA-MAG6310、LED时钟显示屏DSPPA-F5.0、屏蔽仪DSPPA-MAG6900、教学音箱DSPPA-DSP406L。</w:t>
            </w:r>
          </w:p>
          <w:p>
            <w:pPr>
              <w:pStyle w:val="148"/>
              <w:ind w:firstLine="0" w:firstLineChars="0"/>
              <w:rPr>
                <w:rFonts w:ascii="Times New Roman" w:hAnsi="Times New Roman"/>
                <w:color w:val="auto"/>
                <w:kern w:val="0"/>
                <w:szCs w:val="21"/>
              </w:rPr>
            </w:pPr>
            <w:r>
              <w:rPr>
                <w:rFonts w:ascii="Times New Roman" w:hAnsi="Times New Roman"/>
                <w:color w:val="auto"/>
                <w:kern w:val="0"/>
                <w:szCs w:val="21"/>
                <w:lang w:bidi="ar"/>
              </w:rPr>
              <w:t>4.</w:t>
            </w:r>
            <w:r>
              <w:rPr>
                <w:rFonts w:ascii="Times New Roman" w:hAnsi="Times New Roman"/>
                <w:color w:val="auto"/>
                <w:kern w:val="0"/>
                <w:szCs w:val="21"/>
              </w:rPr>
              <w:t>网络化主机软件：</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4.1人性化专业公共广播界面设计，显示节目库和各节目源，各分区一目了然显示和操作。</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4.2广播操作界面包括背景广播，业务广播和紧急广播，各分区音量大小可独立控制。</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4.3以局域网为主要传输媒介，全数字传输，不同分区播放不同的节目源;</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4.4强大的广播矩阵，最多支持1000分区，可根据用户需要制作节目源</w:t>
            </w:r>
            <w:r>
              <w:rPr>
                <w:rFonts w:hint="eastAsia" w:ascii="Times New Roman" w:hAnsi="Times New Roman"/>
                <w:color w:val="auto"/>
                <w:kern w:val="0"/>
                <w:szCs w:val="21"/>
                <w:lang w:bidi="ar"/>
              </w:rPr>
              <w:t>，</w:t>
            </w:r>
            <w:r>
              <w:rPr>
                <w:rFonts w:ascii="Times New Roman" w:hAnsi="Times New Roman"/>
                <w:color w:val="auto"/>
                <w:kern w:val="0"/>
                <w:szCs w:val="21"/>
                <w:lang w:bidi="ar"/>
              </w:rPr>
              <w:t>具有定时、分区、寻呼、报警等功能;</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4.5任意单点播放：可以对任意单点、组群、分区或全部广播;系统可以在同一时间设定任意多个组播放制定的音频节目，或对任意指定的区域进行广播讲话;</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4.6可实现远程分区寻呼功能</w:t>
            </w:r>
            <w:r>
              <w:rPr>
                <w:rFonts w:hint="eastAsia" w:ascii="Times New Roman" w:hAnsi="Times New Roman"/>
                <w:color w:val="auto"/>
                <w:kern w:val="0"/>
                <w:szCs w:val="21"/>
                <w:lang w:bidi="ar"/>
              </w:rPr>
              <w:t>，</w:t>
            </w:r>
            <w:r>
              <w:rPr>
                <w:rFonts w:ascii="Times New Roman" w:hAnsi="Times New Roman"/>
                <w:color w:val="auto"/>
                <w:kern w:val="0"/>
                <w:szCs w:val="21"/>
                <w:lang w:bidi="ar"/>
              </w:rPr>
              <w:t>一键到位的寻呼</w:t>
            </w:r>
            <w:r>
              <w:rPr>
                <w:rFonts w:hint="eastAsia" w:ascii="Times New Roman" w:hAnsi="Times New Roman"/>
                <w:color w:val="auto"/>
                <w:kern w:val="0"/>
                <w:szCs w:val="21"/>
                <w:lang w:bidi="ar"/>
              </w:rPr>
              <w:t>，</w:t>
            </w:r>
            <w:r>
              <w:rPr>
                <w:rFonts w:ascii="Times New Roman" w:hAnsi="Times New Roman"/>
                <w:color w:val="auto"/>
                <w:kern w:val="0"/>
                <w:szCs w:val="21"/>
                <w:lang w:bidi="ar"/>
              </w:rPr>
              <w:t>方便学校领导使用;</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4.7远程分控讲话：无需到广播中心，通过与服务器连接的任意一台电脑，便可以实现广播的远程控制。从而实现领导或教师通过电脑远程对全区、分区、分组讲话;</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4.8终端断线后自动恢复断线前的播放节目</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4.9支持终端定时点备份功能，定时点的内容能自动备份到网络播放终端上。</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4.10具有多级音源优先管理功能，默认为8级优先等级。</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4.11自动音乐打铃：能够设置个性化的音乐铃音，自动按照编排好的作息时间表播放铃声;</w:t>
            </w:r>
          </w:p>
          <w:p>
            <w:pPr>
              <w:pStyle w:val="148"/>
              <w:ind w:firstLine="0" w:firstLineChars="0"/>
              <w:rPr>
                <w:rFonts w:ascii="Times New Roman" w:hAnsi="Times New Roman"/>
                <w:color w:val="auto"/>
                <w:kern w:val="0"/>
                <w:szCs w:val="21"/>
                <w:lang w:bidi="ar"/>
              </w:rPr>
            </w:pPr>
            <w:r>
              <w:rPr>
                <w:rFonts w:hint="eastAsia" w:ascii="Times New Roman" w:hAnsi="Times New Roman" w:eastAsia="黑体"/>
                <w:b/>
                <w:color w:val="auto"/>
                <w:kern w:val="0"/>
                <w:sz w:val="24"/>
                <w:szCs w:val="21"/>
                <w:lang w:bidi="ar"/>
              </w:rPr>
              <w:t>＃</w:t>
            </w:r>
            <w:r>
              <w:rPr>
                <w:rFonts w:ascii="Times New Roman" w:hAnsi="Times New Roman"/>
                <w:color w:val="auto"/>
                <w:kern w:val="0"/>
                <w:szCs w:val="21"/>
                <w:lang w:bidi="ar"/>
              </w:rPr>
              <w:t>4.12可以通过任意终端来监听</w:t>
            </w:r>
            <w:r>
              <w:rPr>
                <w:rFonts w:hint="eastAsia" w:ascii="Times New Roman" w:hAnsi="Times New Roman"/>
                <w:color w:val="auto"/>
                <w:kern w:val="0"/>
                <w:szCs w:val="21"/>
                <w:lang w:bidi="ar"/>
              </w:rPr>
              <w:t>，</w:t>
            </w:r>
            <w:r>
              <w:rPr>
                <w:rFonts w:ascii="Times New Roman" w:hAnsi="Times New Roman"/>
                <w:color w:val="auto"/>
                <w:kern w:val="0"/>
                <w:szCs w:val="21"/>
                <w:lang w:bidi="ar"/>
              </w:rPr>
              <w:t>可以实时监听到所有的广播节目</w:t>
            </w:r>
            <w:r>
              <w:rPr>
                <w:rFonts w:hint="eastAsia" w:ascii="Times New Roman" w:hAnsi="Times New Roman"/>
                <w:color w:val="auto"/>
                <w:kern w:val="0"/>
                <w:szCs w:val="21"/>
                <w:lang w:bidi="ar"/>
              </w:rPr>
              <w:t>，</w:t>
            </w:r>
            <w:r>
              <w:rPr>
                <w:rFonts w:ascii="Times New Roman" w:hAnsi="Times New Roman"/>
                <w:color w:val="auto"/>
                <w:kern w:val="0"/>
                <w:szCs w:val="21"/>
                <w:lang w:bidi="ar"/>
              </w:rPr>
              <w:t>可通过终端拓展音频输入</w:t>
            </w:r>
            <w:r>
              <w:rPr>
                <w:rFonts w:ascii="Times New Roman" w:hAnsi="Times New Roman"/>
                <w:color w:val="auto"/>
              </w:rPr>
              <w:t>，</w:t>
            </w:r>
            <w:r>
              <w:rPr>
                <w:rFonts w:ascii="Times New Roman" w:hAnsi="Times New Roman"/>
                <w:color w:val="auto"/>
                <w:kern w:val="0"/>
                <w:szCs w:val="21"/>
                <w:lang w:bidi="ar"/>
              </w:rPr>
              <w:t>软件集成了系统备份功能，方便客户随时备份系统，</w:t>
            </w:r>
            <w:r>
              <w:rPr>
                <w:rFonts w:ascii="Times New Roman" w:hAnsi="Times New Roman"/>
                <w:color w:val="auto"/>
              </w:rPr>
              <w:t>提供相关证明材料（包括但不限于彩页、官网和功能截图等)</w:t>
            </w:r>
            <w:r>
              <w:rPr>
                <w:rFonts w:ascii="Times New Roman" w:hAnsi="Times New Roman"/>
                <w:color w:val="auto"/>
                <w:kern w:val="0"/>
                <w:szCs w:val="21"/>
                <w:lang w:bidi="ar"/>
              </w:rPr>
              <w:t>。</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4.13软件集成日志管理功能，方便采购人查看系统运行日志；</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4.14软件集成系统维护功能，方便查找和修改播放终端的IP地址；</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4.15软件集成给播放终端、网络化寻呼站升级的功能；</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4.16软件自带节目录制功能，可以直接录音保存并且调用；</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4.17软件集成一键告警功能，方便学校进行紧急告警；</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4.18软件集成pingIP地址功能，方便查找IP故障；</w:t>
            </w:r>
          </w:p>
          <w:p>
            <w:pPr>
              <w:pStyle w:val="148"/>
              <w:ind w:firstLine="0" w:firstLineChars="0"/>
              <w:rPr>
                <w:rFonts w:ascii="Times New Roman" w:hAnsi="Times New Roman"/>
                <w:color w:val="auto"/>
                <w:kern w:val="0"/>
                <w:szCs w:val="21"/>
                <w:lang w:bidi="ar"/>
              </w:rPr>
            </w:pPr>
            <w:r>
              <w:rPr>
                <w:rFonts w:ascii="Times New Roman" w:hAnsi="Times New Roman"/>
                <w:color w:val="auto"/>
                <w:kern w:val="0"/>
                <w:szCs w:val="21"/>
                <w:lang w:bidi="ar"/>
              </w:rPr>
              <w:t>4.19软件集成恢复出厂声卡配置功能，方便采购人重新修改声卡配置；</w:t>
            </w:r>
          </w:p>
          <w:p>
            <w:pPr>
              <w:pStyle w:val="148"/>
              <w:ind w:firstLine="0" w:firstLineChars="0"/>
              <w:rPr>
                <w:bCs/>
                <w:color w:val="auto"/>
                <w:kern w:val="0"/>
                <w:szCs w:val="21"/>
              </w:rPr>
            </w:pPr>
            <w:r>
              <w:rPr>
                <w:rFonts w:ascii="Times New Roman" w:hAnsi="Times New Roman"/>
                <w:color w:val="auto"/>
                <w:kern w:val="0"/>
                <w:szCs w:val="21"/>
                <w:lang w:bidi="ar"/>
              </w:rPr>
              <w:t>4.20软件集成寻呼台日志功能，方便采购人查看寻呼台日志。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28</w:t>
            </w:r>
          </w:p>
        </w:tc>
        <w:tc>
          <w:tcPr>
            <w:tcW w:w="1134" w:type="dxa"/>
            <w:gridSpan w:val="2"/>
            <w:vAlign w:val="center"/>
          </w:tcPr>
          <w:p>
            <w:pPr>
              <w:widowControl/>
              <w:jc w:val="center"/>
              <w:rPr>
                <w:bCs/>
                <w:color w:val="auto"/>
                <w:kern w:val="0"/>
                <w:szCs w:val="21"/>
              </w:rPr>
            </w:pPr>
            <w:r>
              <w:rPr>
                <w:color w:val="auto"/>
                <w:kern w:val="0"/>
                <w:szCs w:val="21"/>
              </w:rPr>
              <w:t>播放器</w:t>
            </w:r>
          </w:p>
        </w:tc>
        <w:tc>
          <w:tcPr>
            <w:tcW w:w="567" w:type="dxa"/>
            <w:vAlign w:val="center"/>
          </w:tcPr>
          <w:p>
            <w:pPr>
              <w:widowControl/>
              <w:jc w:val="center"/>
              <w:rPr>
                <w:bCs/>
                <w:color w:val="auto"/>
                <w:kern w:val="0"/>
                <w:szCs w:val="21"/>
              </w:rPr>
            </w:pPr>
            <w:r>
              <w:rPr>
                <w:color w:val="auto"/>
                <w:kern w:val="0"/>
                <w:szCs w:val="21"/>
              </w:rPr>
              <w:t>1台</w:t>
            </w:r>
          </w:p>
        </w:tc>
        <w:tc>
          <w:tcPr>
            <w:tcW w:w="7512" w:type="dxa"/>
            <w:vAlign w:val="top"/>
          </w:tcPr>
          <w:p>
            <w:pPr>
              <w:rPr>
                <w:color w:val="auto"/>
                <w:kern w:val="0"/>
                <w:szCs w:val="21"/>
                <w:lang w:bidi="ar"/>
              </w:rPr>
            </w:pPr>
            <w:r>
              <w:rPr>
                <w:color w:val="auto"/>
                <w:kern w:val="0"/>
                <w:szCs w:val="21"/>
                <w:lang w:bidi="ar"/>
              </w:rPr>
              <w:t>1.CD/MP3/MP4/VCD/DVD 播放功能；</w:t>
            </w:r>
            <w:r>
              <w:rPr>
                <w:color w:val="auto"/>
                <w:kern w:val="0"/>
                <w:szCs w:val="21"/>
                <w:lang w:bidi="ar"/>
              </w:rPr>
              <w:br w:type="textWrapping"/>
            </w:r>
            <w:r>
              <w:rPr>
                <w:color w:val="auto"/>
                <w:kern w:val="0"/>
                <w:szCs w:val="21"/>
                <w:lang w:bidi="ar"/>
              </w:rPr>
              <w:t>2.高亮度动态 VFD 显示，清晰醒目；</w:t>
            </w:r>
            <w:r>
              <w:rPr>
                <w:color w:val="auto"/>
                <w:kern w:val="0"/>
                <w:szCs w:val="21"/>
                <w:lang w:bidi="ar"/>
              </w:rPr>
              <w:br w:type="textWrapping"/>
            </w:r>
            <w:r>
              <w:rPr>
                <w:color w:val="auto"/>
                <w:kern w:val="0"/>
                <w:szCs w:val="21"/>
                <w:lang w:bidi="ar"/>
              </w:rPr>
              <w:t>3.具有曲目直选功能；</w:t>
            </w:r>
            <w:r>
              <w:rPr>
                <w:color w:val="auto"/>
                <w:kern w:val="0"/>
                <w:szCs w:val="21"/>
                <w:lang w:bidi="ar"/>
              </w:rPr>
              <w:br w:type="textWrapping"/>
            </w:r>
            <w:r>
              <w:rPr>
                <w:color w:val="auto"/>
                <w:kern w:val="0"/>
                <w:szCs w:val="21"/>
                <w:lang w:bidi="ar"/>
              </w:rPr>
              <w:t>4.具有通电后自动播放功能；</w:t>
            </w:r>
            <w:r>
              <w:rPr>
                <w:color w:val="auto"/>
                <w:kern w:val="0"/>
                <w:szCs w:val="21"/>
                <w:lang w:bidi="ar"/>
              </w:rPr>
              <w:br w:type="textWrapping"/>
            </w:r>
            <w:r>
              <w:rPr>
                <w:color w:val="auto"/>
                <w:kern w:val="0"/>
                <w:szCs w:val="21"/>
                <w:lang w:bidi="ar"/>
              </w:rPr>
              <w:t>5.频率响应 20Hz-20kHz（±3dB）；</w:t>
            </w:r>
            <w:r>
              <w:rPr>
                <w:color w:val="auto"/>
                <w:kern w:val="0"/>
                <w:szCs w:val="21"/>
                <w:lang w:bidi="ar"/>
              </w:rPr>
              <w:br w:type="textWrapping"/>
            </w:r>
            <w:r>
              <w:rPr>
                <w:color w:val="auto"/>
                <w:kern w:val="0"/>
                <w:szCs w:val="21"/>
                <w:lang w:bidi="ar"/>
              </w:rPr>
              <w:t>6.信噪比 90dB；</w:t>
            </w:r>
            <w:r>
              <w:rPr>
                <w:color w:val="auto"/>
                <w:kern w:val="0"/>
                <w:szCs w:val="21"/>
                <w:lang w:bidi="ar"/>
              </w:rPr>
              <w:br w:type="textWrapping"/>
            </w:r>
            <w:r>
              <w:rPr>
                <w:color w:val="auto"/>
                <w:kern w:val="0"/>
                <w:szCs w:val="21"/>
                <w:lang w:bidi="ar"/>
              </w:rPr>
              <w:t>7.动态范围 90dB；</w:t>
            </w:r>
            <w:r>
              <w:rPr>
                <w:color w:val="auto"/>
                <w:kern w:val="0"/>
                <w:szCs w:val="21"/>
                <w:lang w:bidi="ar"/>
              </w:rPr>
              <w:br w:type="textWrapping"/>
            </w:r>
            <w:r>
              <w:rPr>
                <w:color w:val="auto"/>
                <w:kern w:val="0"/>
                <w:szCs w:val="21"/>
                <w:lang w:bidi="ar"/>
              </w:rPr>
              <w:t>8.谐波失真 0.005%；</w:t>
            </w:r>
            <w:r>
              <w:rPr>
                <w:color w:val="auto"/>
                <w:kern w:val="0"/>
                <w:szCs w:val="21"/>
                <w:lang w:bidi="ar"/>
              </w:rPr>
              <w:br w:type="textWrapping"/>
            </w:r>
            <w:r>
              <w:rPr>
                <w:color w:val="auto"/>
                <w:kern w:val="0"/>
                <w:szCs w:val="21"/>
                <w:lang w:bidi="ar"/>
              </w:rPr>
              <w:t>9.抖晃 可测极限之下；</w:t>
            </w:r>
            <w:r>
              <w:rPr>
                <w:color w:val="auto"/>
                <w:kern w:val="0"/>
                <w:szCs w:val="21"/>
                <w:lang w:bidi="ar"/>
              </w:rPr>
              <w:br w:type="textWrapping"/>
            </w:r>
            <w:r>
              <w:rPr>
                <w:color w:val="auto"/>
                <w:kern w:val="0"/>
                <w:szCs w:val="21"/>
                <w:lang w:bidi="ar"/>
              </w:rPr>
              <w:t>10.输出电平 0dBV；</w:t>
            </w:r>
            <w:r>
              <w:rPr>
                <w:color w:val="auto"/>
                <w:kern w:val="0"/>
                <w:szCs w:val="21"/>
                <w:lang w:bidi="ar"/>
              </w:rPr>
              <w:br w:type="textWrapping"/>
            </w:r>
            <w:r>
              <w:rPr>
                <w:color w:val="auto"/>
                <w:kern w:val="0"/>
                <w:szCs w:val="21"/>
                <w:lang w:bidi="ar"/>
              </w:rPr>
              <w:t>11.保护 AC 保险丝；</w:t>
            </w:r>
            <w:r>
              <w:rPr>
                <w:color w:val="auto"/>
                <w:kern w:val="0"/>
                <w:szCs w:val="21"/>
                <w:lang w:bidi="ar"/>
              </w:rPr>
              <w:br w:type="textWrapping"/>
            </w:r>
            <w:r>
              <w:rPr>
                <w:color w:val="auto"/>
                <w:kern w:val="0"/>
                <w:szCs w:val="21"/>
                <w:lang w:bidi="ar"/>
              </w:rPr>
              <w:t>12.电源 AC220V/50Hz ；</w:t>
            </w:r>
          </w:p>
          <w:p>
            <w:pPr>
              <w:rPr>
                <w:bCs/>
                <w:color w:val="auto"/>
                <w:kern w:val="0"/>
                <w:szCs w:val="21"/>
              </w:rPr>
            </w:pPr>
            <w:r>
              <w:rPr>
                <w:color w:val="auto"/>
                <w:szCs w:val="21"/>
              </w:rPr>
              <w:t>13.</w:t>
            </w:r>
            <w:r>
              <w:rPr>
                <w:color w:val="auto"/>
                <w:kern w:val="0"/>
                <w:szCs w:val="21"/>
                <w:lang w:bidi="ar"/>
              </w:rPr>
              <w:t xml:space="preserve"> 为了保证系统的稳定性和兼容性，此设备与</w:t>
            </w:r>
            <w:r>
              <w:rPr>
                <w:rFonts w:hint="eastAsia"/>
                <w:color w:val="auto"/>
                <w:kern w:val="0"/>
                <w:szCs w:val="21"/>
                <w:lang w:eastAsia="zh-CN" w:bidi="ar"/>
              </w:rPr>
              <w:t>第</w:t>
            </w:r>
            <w:r>
              <w:rPr>
                <w:rFonts w:hint="eastAsia"/>
                <w:color w:val="auto"/>
                <w:kern w:val="0"/>
                <w:szCs w:val="21"/>
                <w:lang w:val="en-US" w:eastAsia="zh-CN" w:bidi="ar"/>
              </w:rPr>
              <w:t>27项</w:t>
            </w:r>
            <w:r>
              <w:rPr>
                <w:rFonts w:hint="eastAsia"/>
                <w:color w:val="auto"/>
                <w:kern w:val="0"/>
                <w:szCs w:val="21"/>
                <w:lang w:eastAsia="zh-CN" w:bidi="ar"/>
              </w:rPr>
              <w:t>“</w:t>
            </w:r>
            <w:r>
              <w:rPr>
                <w:color w:val="auto"/>
                <w:kern w:val="0"/>
                <w:szCs w:val="21"/>
              </w:rPr>
              <w:t>网络广播中心</w:t>
            </w:r>
            <w:r>
              <w:rPr>
                <w:rFonts w:hint="eastAsia"/>
                <w:color w:val="auto"/>
                <w:kern w:val="0"/>
                <w:szCs w:val="21"/>
                <w:lang w:eastAsia="zh-CN" w:bidi="ar"/>
              </w:rPr>
              <w:t>”</w:t>
            </w:r>
            <w:r>
              <w:rPr>
                <w:color w:val="auto"/>
                <w:kern w:val="0"/>
                <w:szCs w:val="21"/>
                <w:lang w:bidi="ar"/>
              </w:rPr>
              <w:t>同一品牌。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29</w:t>
            </w:r>
          </w:p>
        </w:tc>
        <w:tc>
          <w:tcPr>
            <w:tcW w:w="1134" w:type="dxa"/>
            <w:gridSpan w:val="2"/>
            <w:vAlign w:val="center"/>
          </w:tcPr>
          <w:p>
            <w:pPr>
              <w:widowControl/>
              <w:jc w:val="center"/>
              <w:rPr>
                <w:bCs/>
                <w:color w:val="auto"/>
                <w:kern w:val="0"/>
                <w:szCs w:val="21"/>
              </w:rPr>
            </w:pPr>
            <w:r>
              <w:rPr>
                <w:color w:val="auto"/>
                <w:kern w:val="0"/>
                <w:szCs w:val="21"/>
              </w:rPr>
              <w:t>调谐器</w:t>
            </w:r>
          </w:p>
        </w:tc>
        <w:tc>
          <w:tcPr>
            <w:tcW w:w="567" w:type="dxa"/>
            <w:vAlign w:val="center"/>
          </w:tcPr>
          <w:p>
            <w:pPr>
              <w:widowControl/>
              <w:jc w:val="center"/>
              <w:rPr>
                <w:bCs/>
                <w:color w:val="auto"/>
                <w:kern w:val="0"/>
                <w:szCs w:val="21"/>
              </w:rPr>
            </w:pPr>
            <w:r>
              <w:rPr>
                <w:color w:val="auto"/>
                <w:kern w:val="0"/>
                <w:szCs w:val="21"/>
              </w:rPr>
              <w:t>1台</w:t>
            </w:r>
          </w:p>
        </w:tc>
        <w:tc>
          <w:tcPr>
            <w:tcW w:w="7512" w:type="dxa"/>
            <w:vAlign w:val="top"/>
          </w:tcPr>
          <w:p>
            <w:pPr>
              <w:rPr>
                <w:bCs/>
                <w:color w:val="auto"/>
                <w:kern w:val="0"/>
                <w:szCs w:val="21"/>
              </w:rPr>
            </w:pPr>
            <w:r>
              <w:rPr>
                <w:color w:val="auto"/>
                <w:kern w:val="0"/>
                <w:szCs w:val="21"/>
                <w:lang w:bidi="ar"/>
              </w:rPr>
              <w:t>1.微电脑控制，数字调谐系统。</w:t>
            </w:r>
            <w:r>
              <w:rPr>
                <w:color w:val="auto"/>
                <w:kern w:val="0"/>
                <w:szCs w:val="21"/>
                <w:lang w:bidi="ar"/>
              </w:rPr>
              <w:br w:type="textWrapping"/>
            </w:r>
            <w:r>
              <w:rPr>
                <w:color w:val="auto"/>
                <w:kern w:val="0"/>
                <w:szCs w:val="21"/>
                <w:lang w:bidi="ar"/>
              </w:rPr>
              <w:t>2.收音头以模块形式设计，可与主机分离，放置在接收信号更好的位置。</w:t>
            </w:r>
            <w:r>
              <w:rPr>
                <w:color w:val="auto"/>
                <w:kern w:val="0"/>
                <w:szCs w:val="21"/>
                <w:lang w:bidi="ar"/>
              </w:rPr>
              <w:br w:type="textWrapping"/>
            </w:r>
            <w:r>
              <w:rPr>
                <w:color w:val="auto"/>
                <w:kern w:val="0"/>
                <w:szCs w:val="21"/>
                <w:lang w:bidi="ar"/>
              </w:rPr>
              <w:t>3.全轻触按键控制，VFD显示。</w:t>
            </w:r>
            <w:r>
              <w:rPr>
                <w:color w:val="auto"/>
                <w:kern w:val="0"/>
                <w:szCs w:val="21"/>
                <w:lang w:bidi="ar"/>
              </w:rPr>
              <w:br w:type="textWrapping"/>
            </w:r>
            <w:r>
              <w:rPr>
                <w:color w:val="auto"/>
                <w:kern w:val="0"/>
                <w:szCs w:val="21"/>
                <w:lang w:bidi="ar"/>
              </w:rPr>
              <w:t>4.AM/FM 各40个电台存储功能。</w:t>
            </w:r>
            <w:r>
              <w:rPr>
                <w:color w:val="auto"/>
                <w:kern w:val="0"/>
                <w:szCs w:val="21"/>
                <w:lang w:bidi="ar"/>
              </w:rPr>
              <w:br w:type="textWrapping"/>
            </w:r>
            <w:r>
              <w:rPr>
                <w:color w:val="auto"/>
                <w:kern w:val="0"/>
                <w:szCs w:val="21"/>
                <w:lang w:bidi="ar"/>
              </w:rPr>
              <w:t>5.具有自动搜索电台并自动存储功能。</w:t>
            </w:r>
            <w:r>
              <w:rPr>
                <w:color w:val="auto"/>
                <w:kern w:val="0"/>
                <w:szCs w:val="21"/>
                <w:lang w:bidi="ar"/>
              </w:rPr>
              <w:br w:type="textWrapping"/>
            </w:r>
            <w:r>
              <w:rPr>
                <w:color w:val="auto"/>
                <w:kern w:val="0"/>
                <w:szCs w:val="21"/>
                <w:lang w:bidi="ar"/>
              </w:rPr>
              <w:t>6.具有音频信号电平指示。</w:t>
            </w:r>
            <w:r>
              <w:rPr>
                <w:color w:val="auto"/>
                <w:kern w:val="0"/>
                <w:szCs w:val="21"/>
                <w:lang w:bidi="ar"/>
              </w:rPr>
              <w:br w:type="textWrapping"/>
            </w:r>
            <w:r>
              <w:rPr>
                <w:color w:val="auto"/>
                <w:kern w:val="0"/>
                <w:szCs w:val="21"/>
                <w:lang w:bidi="ar"/>
              </w:rPr>
              <w:t>7.具有断电记忆功能。</w:t>
            </w:r>
            <w:r>
              <w:rPr>
                <w:color w:val="auto"/>
                <w:kern w:val="0"/>
                <w:szCs w:val="21"/>
                <w:lang w:bidi="ar"/>
              </w:rPr>
              <w:br w:type="textWrapping"/>
            </w:r>
            <w:r>
              <w:rPr>
                <w:color w:val="auto"/>
                <w:kern w:val="0"/>
                <w:szCs w:val="21"/>
                <w:lang w:bidi="ar"/>
              </w:rPr>
              <w:t>8.接收范围 FM 87.0MHz-108.0MHz/AM 522kHz-1620kHz</w:t>
            </w:r>
            <w:r>
              <w:rPr>
                <w:color w:val="auto"/>
                <w:kern w:val="0"/>
                <w:szCs w:val="21"/>
                <w:lang w:bidi="ar"/>
              </w:rPr>
              <w:br w:type="textWrapping"/>
            </w:r>
            <w:r>
              <w:rPr>
                <w:color w:val="auto"/>
                <w:kern w:val="0"/>
                <w:szCs w:val="21"/>
                <w:lang w:bidi="ar"/>
              </w:rPr>
              <w:t>9.灵敏度 FM 26dBμ/AM 52dBμ</w:t>
            </w:r>
            <w:r>
              <w:rPr>
                <w:color w:val="auto"/>
                <w:kern w:val="0"/>
                <w:szCs w:val="21"/>
                <w:lang w:bidi="ar"/>
              </w:rPr>
              <w:br w:type="textWrapping"/>
            </w:r>
            <w:r>
              <w:rPr>
                <w:color w:val="auto"/>
                <w:kern w:val="0"/>
                <w:szCs w:val="21"/>
                <w:lang w:bidi="ar"/>
              </w:rPr>
              <w:t>10.信噪比 FM 单声道76dB，立体声70dB/AM 40dB</w:t>
            </w:r>
            <w:r>
              <w:rPr>
                <w:color w:val="auto"/>
                <w:kern w:val="0"/>
                <w:szCs w:val="21"/>
                <w:lang w:bidi="ar"/>
              </w:rPr>
              <w:br w:type="textWrapping"/>
            </w:r>
            <w:r>
              <w:rPr>
                <w:color w:val="auto"/>
                <w:kern w:val="0"/>
                <w:szCs w:val="21"/>
                <w:lang w:bidi="ar"/>
              </w:rPr>
              <w:t>11.调谐频率步距 FM 50kHz/AM 9kHz</w:t>
            </w:r>
            <w:r>
              <w:rPr>
                <w:color w:val="auto"/>
                <w:kern w:val="0"/>
                <w:szCs w:val="21"/>
                <w:lang w:bidi="ar"/>
              </w:rPr>
              <w:br w:type="textWrapping"/>
            </w:r>
            <w:r>
              <w:rPr>
                <w:color w:val="auto"/>
                <w:kern w:val="0"/>
                <w:szCs w:val="21"/>
                <w:lang w:bidi="ar"/>
              </w:rPr>
              <w:t>12.中频频率 FM 10.7MHz/AM 450kHz</w:t>
            </w:r>
            <w:r>
              <w:rPr>
                <w:color w:val="auto"/>
                <w:kern w:val="0"/>
                <w:szCs w:val="21"/>
                <w:lang w:bidi="ar"/>
              </w:rPr>
              <w:br w:type="textWrapping"/>
            </w:r>
            <w:r>
              <w:rPr>
                <w:color w:val="auto"/>
                <w:kern w:val="0"/>
                <w:szCs w:val="21"/>
                <w:lang w:bidi="ar"/>
              </w:rPr>
              <w:t>13.输出电平 0dBV</w:t>
            </w:r>
            <w:r>
              <w:rPr>
                <w:color w:val="auto"/>
                <w:kern w:val="0"/>
                <w:szCs w:val="21"/>
                <w:lang w:bidi="ar"/>
              </w:rPr>
              <w:br w:type="textWrapping"/>
            </w:r>
            <w:r>
              <w:rPr>
                <w:color w:val="auto"/>
                <w:kern w:val="0"/>
                <w:szCs w:val="21"/>
                <w:lang w:bidi="ar"/>
              </w:rPr>
              <w:t>14.保护 AC保险丝</w:t>
            </w:r>
            <w:r>
              <w:rPr>
                <w:color w:val="auto"/>
                <w:kern w:val="0"/>
                <w:szCs w:val="21"/>
                <w:lang w:bidi="ar"/>
              </w:rPr>
              <w:br w:type="textWrapping"/>
            </w:r>
            <w:r>
              <w:rPr>
                <w:color w:val="auto"/>
                <w:kern w:val="0"/>
                <w:szCs w:val="21"/>
                <w:lang w:bidi="ar"/>
              </w:rPr>
              <w:t>15.电源 AC220V/50Hz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30</w:t>
            </w:r>
          </w:p>
        </w:tc>
        <w:tc>
          <w:tcPr>
            <w:tcW w:w="1134" w:type="dxa"/>
            <w:gridSpan w:val="2"/>
            <w:vAlign w:val="center"/>
          </w:tcPr>
          <w:p>
            <w:pPr>
              <w:widowControl/>
              <w:jc w:val="center"/>
              <w:rPr>
                <w:bCs/>
                <w:color w:val="auto"/>
                <w:kern w:val="0"/>
                <w:szCs w:val="21"/>
              </w:rPr>
            </w:pPr>
            <w:r>
              <w:rPr>
                <w:color w:val="auto"/>
                <w:kern w:val="0"/>
                <w:szCs w:val="21"/>
              </w:rPr>
              <w:t>网络化监听音箱</w:t>
            </w:r>
          </w:p>
        </w:tc>
        <w:tc>
          <w:tcPr>
            <w:tcW w:w="567" w:type="dxa"/>
            <w:vAlign w:val="center"/>
          </w:tcPr>
          <w:p>
            <w:pPr>
              <w:widowControl/>
              <w:jc w:val="center"/>
              <w:rPr>
                <w:bCs/>
                <w:color w:val="auto"/>
                <w:kern w:val="0"/>
                <w:szCs w:val="21"/>
              </w:rPr>
            </w:pPr>
            <w:r>
              <w:rPr>
                <w:color w:val="auto"/>
                <w:kern w:val="0"/>
                <w:szCs w:val="21"/>
              </w:rPr>
              <w:t>1只</w:t>
            </w:r>
          </w:p>
        </w:tc>
        <w:tc>
          <w:tcPr>
            <w:tcW w:w="7512" w:type="dxa"/>
            <w:vAlign w:val="top"/>
          </w:tcPr>
          <w:p>
            <w:pPr>
              <w:numPr>
                <w:ilvl w:val="0"/>
                <w:numId w:val="1"/>
              </w:numPr>
              <w:rPr>
                <w:color w:val="auto"/>
                <w:kern w:val="0"/>
                <w:szCs w:val="21"/>
                <w:lang w:bidi="ar"/>
              </w:rPr>
            </w:pPr>
            <w:r>
              <w:rPr>
                <w:color w:val="auto"/>
                <w:kern w:val="0"/>
                <w:szCs w:val="21"/>
                <w:lang w:bidi="ar"/>
              </w:rPr>
              <w:t>双网络接口冗余设计，支持100/10Mbps自适应TCP/IP网络传输协议，可跨网段工作。</w:t>
            </w:r>
            <w:r>
              <w:rPr>
                <w:color w:val="auto"/>
                <w:kern w:val="0"/>
                <w:szCs w:val="21"/>
                <w:lang w:bidi="ar"/>
              </w:rPr>
              <w:br w:type="textWrapping"/>
            </w:r>
            <w:r>
              <w:rPr>
                <w:rFonts w:hint="eastAsia" w:eastAsia="黑体"/>
                <w:b/>
                <w:color w:val="auto"/>
                <w:sz w:val="24"/>
                <w:szCs w:val="21"/>
              </w:rPr>
              <w:t>＃</w:t>
            </w:r>
            <w:r>
              <w:rPr>
                <w:color w:val="auto"/>
                <w:kern w:val="0"/>
                <w:szCs w:val="21"/>
                <w:lang w:bidi="ar"/>
              </w:rPr>
              <w:t>2.网络化终端处理器结合高保真扬声器整体化设计的网络化音箱，可接受红外线遥控器的操控，</w:t>
            </w:r>
            <w:r>
              <w:rPr>
                <w:color w:val="auto"/>
              </w:rPr>
              <w:t>提供相关证明材料</w:t>
            </w:r>
            <w:r>
              <w:rPr>
                <w:rFonts w:hint="eastAsia"/>
                <w:color w:val="auto"/>
              </w:rPr>
              <w:t>提供产品面板实物彩色图片标示此功能要求并加盖投标单位公章</w:t>
            </w:r>
            <w:r>
              <w:rPr>
                <w:color w:val="auto"/>
              </w:rPr>
              <w:t>）</w:t>
            </w:r>
            <w:r>
              <w:rPr>
                <w:color w:val="auto"/>
                <w:kern w:val="0"/>
                <w:szCs w:val="21"/>
                <w:lang w:bidi="ar"/>
              </w:rPr>
              <w:t>。</w:t>
            </w:r>
          </w:p>
          <w:p>
            <w:pPr>
              <w:rPr>
                <w:bCs/>
                <w:color w:val="auto"/>
                <w:kern w:val="0"/>
                <w:szCs w:val="21"/>
              </w:rPr>
            </w:pPr>
            <w:r>
              <w:rPr>
                <w:color w:val="auto"/>
                <w:kern w:val="0"/>
                <w:szCs w:val="21"/>
                <w:lang w:bidi="ar"/>
              </w:rPr>
              <w:t>3.内置2×15W或1×30W高保真数字功放，低功耗设置。</w:t>
            </w:r>
            <w:r>
              <w:rPr>
                <w:color w:val="auto"/>
                <w:kern w:val="0"/>
                <w:szCs w:val="21"/>
                <w:lang w:bidi="ar"/>
              </w:rPr>
              <w:br w:type="textWrapping"/>
            </w:r>
            <w:r>
              <w:rPr>
                <w:color w:val="auto"/>
                <w:kern w:val="0"/>
                <w:szCs w:val="21"/>
                <w:lang w:bidi="ar"/>
              </w:rPr>
              <w:t>4.内置4Ω25W高保真扬声器，输出灵敏度高。</w:t>
            </w:r>
            <w:r>
              <w:rPr>
                <w:color w:val="auto"/>
                <w:kern w:val="0"/>
                <w:szCs w:val="21"/>
                <w:lang w:bidi="ar"/>
              </w:rPr>
              <w:br w:type="textWrapping"/>
            </w:r>
            <w:r>
              <w:rPr>
                <w:color w:val="auto"/>
                <w:kern w:val="0"/>
                <w:szCs w:val="21"/>
                <w:lang w:bidi="ar"/>
              </w:rPr>
              <w:t>5.数码显示屏设计，既可显示实时时钟时间。</w:t>
            </w:r>
            <w:r>
              <w:rPr>
                <w:color w:val="auto"/>
                <w:kern w:val="0"/>
                <w:szCs w:val="21"/>
                <w:lang w:bidi="ar"/>
              </w:rPr>
              <w:br w:type="textWrapping"/>
            </w:r>
            <w:r>
              <w:rPr>
                <w:color w:val="auto"/>
                <w:kern w:val="0"/>
                <w:szCs w:val="21"/>
                <w:lang w:bidi="ar"/>
              </w:rPr>
              <w:t>6.可播放来自系统主机的背景音乐、紧急寻呼、告警信号等。</w:t>
            </w:r>
            <w:r>
              <w:rPr>
                <w:color w:val="auto"/>
                <w:kern w:val="0"/>
                <w:szCs w:val="21"/>
                <w:lang w:bidi="ar"/>
              </w:rPr>
              <w:br w:type="textWrapping"/>
            </w:r>
            <w:r>
              <w:rPr>
                <w:color w:val="auto"/>
                <w:kern w:val="0"/>
                <w:szCs w:val="21"/>
                <w:lang w:bidi="ar"/>
              </w:rPr>
              <w:t>7.具有一路辅助音频输入口，一路辅助音频输出口，一路话筒输入100V本地紧急线路输入，方便接入消防本地广播系统。</w:t>
            </w:r>
            <w:r>
              <w:rPr>
                <w:color w:val="auto"/>
                <w:kern w:val="0"/>
                <w:szCs w:val="21"/>
                <w:lang w:bidi="ar"/>
              </w:rPr>
              <w:br w:type="textWrapping"/>
            </w:r>
            <w:r>
              <w:rPr>
                <w:color w:val="auto"/>
                <w:kern w:val="0"/>
                <w:szCs w:val="21"/>
                <w:lang w:bidi="ar"/>
              </w:rPr>
              <w:t>8.可拓展蓝牙音频接收功能，点播功能和对讲功能。</w:t>
            </w:r>
            <w:r>
              <w:rPr>
                <w:color w:val="auto"/>
                <w:kern w:val="0"/>
                <w:szCs w:val="21"/>
                <w:lang w:bidi="ar"/>
              </w:rPr>
              <w:br w:type="textWrapping"/>
            </w:r>
            <w:r>
              <w:rPr>
                <w:color w:val="auto"/>
                <w:kern w:val="0"/>
                <w:szCs w:val="21"/>
                <w:lang w:bidi="ar"/>
              </w:rPr>
              <w:t>9.可挂接在网络到达的任何地方。</w:t>
            </w:r>
            <w:r>
              <w:rPr>
                <w:color w:val="auto"/>
                <w:kern w:val="0"/>
                <w:szCs w:val="21"/>
                <w:lang w:bidi="ar"/>
              </w:rPr>
              <w:br w:type="textWrapping"/>
            </w:r>
            <w:r>
              <w:rPr>
                <w:color w:val="auto"/>
                <w:kern w:val="0"/>
                <w:szCs w:val="21"/>
                <w:lang w:bidi="ar"/>
              </w:rPr>
              <w:t>10.具有MP3解码播放功能。</w:t>
            </w:r>
            <w:r>
              <w:rPr>
                <w:color w:val="auto"/>
                <w:kern w:val="0"/>
                <w:szCs w:val="21"/>
                <w:lang w:bidi="ar"/>
              </w:rPr>
              <w:br w:type="textWrapping"/>
            </w:r>
            <w:r>
              <w:rPr>
                <w:color w:val="auto"/>
                <w:kern w:val="0"/>
                <w:szCs w:val="21"/>
                <w:lang w:bidi="ar"/>
              </w:rPr>
              <w:t>11.支持最大48kHz采样率16bit数字音频码流解码。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31</w:t>
            </w:r>
          </w:p>
        </w:tc>
        <w:tc>
          <w:tcPr>
            <w:tcW w:w="1134" w:type="dxa"/>
            <w:gridSpan w:val="2"/>
            <w:vAlign w:val="center"/>
          </w:tcPr>
          <w:p>
            <w:pPr>
              <w:widowControl/>
              <w:jc w:val="center"/>
              <w:rPr>
                <w:bCs/>
                <w:color w:val="auto"/>
                <w:kern w:val="0"/>
                <w:szCs w:val="21"/>
              </w:rPr>
            </w:pPr>
            <w:r>
              <w:rPr>
                <w:color w:val="auto"/>
                <w:kern w:val="0"/>
                <w:szCs w:val="21"/>
              </w:rPr>
              <w:t>广播寻呼话筒</w:t>
            </w:r>
          </w:p>
        </w:tc>
        <w:tc>
          <w:tcPr>
            <w:tcW w:w="567" w:type="dxa"/>
            <w:vAlign w:val="center"/>
          </w:tcPr>
          <w:p>
            <w:pPr>
              <w:widowControl/>
              <w:jc w:val="center"/>
              <w:rPr>
                <w:bCs/>
                <w:color w:val="auto"/>
                <w:kern w:val="0"/>
                <w:szCs w:val="21"/>
              </w:rPr>
            </w:pPr>
            <w:r>
              <w:rPr>
                <w:color w:val="auto"/>
                <w:kern w:val="0"/>
                <w:szCs w:val="21"/>
              </w:rPr>
              <w:t>1只</w:t>
            </w:r>
          </w:p>
        </w:tc>
        <w:tc>
          <w:tcPr>
            <w:tcW w:w="7512" w:type="dxa"/>
            <w:vAlign w:val="top"/>
          </w:tcPr>
          <w:p>
            <w:pPr>
              <w:rPr>
                <w:color w:val="auto"/>
                <w:kern w:val="0"/>
                <w:szCs w:val="21"/>
                <w:lang w:bidi="ar"/>
              </w:rPr>
            </w:pPr>
            <w:r>
              <w:rPr>
                <w:color w:val="auto"/>
                <w:kern w:val="0"/>
                <w:szCs w:val="21"/>
                <w:lang w:bidi="ar"/>
              </w:rPr>
              <w:t>1.支持终端即插即用；</w:t>
            </w:r>
            <w:r>
              <w:rPr>
                <w:color w:val="auto"/>
                <w:kern w:val="0"/>
                <w:szCs w:val="21"/>
                <w:lang w:bidi="ar"/>
              </w:rPr>
              <w:br w:type="textWrapping"/>
            </w:r>
            <w:r>
              <w:rPr>
                <w:color w:val="auto"/>
                <w:kern w:val="0"/>
                <w:szCs w:val="21"/>
                <w:lang w:bidi="ar"/>
              </w:rPr>
              <w:t>2.具有延时自动关闭功能；</w:t>
            </w:r>
            <w:r>
              <w:rPr>
                <w:color w:val="auto"/>
                <w:kern w:val="0"/>
                <w:szCs w:val="21"/>
                <w:lang w:bidi="ar"/>
              </w:rPr>
              <w:br w:type="textWrapping"/>
            </w:r>
            <w:r>
              <w:rPr>
                <w:color w:val="auto"/>
                <w:kern w:val="0"/>
                <w:szCs w:val="21"/>
                <w:lang w:bidi="ar"/>
              </w:rPr>
              <w:t>3.可弯曲式话筒。话筒输出电压600mV±10mV或20mV±10%（非平衡）；</w:t>
            </w:r>
            <w:r>
              <w:rPr>
                <w:color w:val="auto"/>
                <w:kern w:val="0"/>
                <w:szCs w:val="21"/>
                <w:lang w:bidi="ar"/>
              </w:rPr>
              <w:br w:type="textWrapping"/>
            </w:r>
            <w:r>
              <w:rPr>
                <w:color w:val="auto"/>
                <w:kern w:val="0"/>
                <w:szCs w:val="21"/>
                <w:lang w:bidi="ar"/>
              </w:rPr>
              <w:t>4.钟声额定输出电压600mV±10mV或20mV±10%；</w:t>
            </w:r>
            <w:r>
              <w:rPr>
                <w:color w:val="auto"/>
                <w:kern w:val="0"/>
                <w:szCs w:val="21"/>
                <w:lang w:bidi="ar"/>
              </w:rPr>
              <w:br w:type="textWrapping"/>
            </w:r>
            <w:r>
              <w:rPr>
                <w:color w:val="auto"/>
                <w:kern w:val="0"/>
                <w:szCs w:val="21"/>
                <w:lang w:bidi="ar"/>
              </w:rPr>
              <w:t>5.输出钟声种类CHIMEUP：上音符1-3-5-і-CHIMEDOWN：下音符i-5-3-1-；6.频率范围100Hz-15kHz；</w:t>
            </w:r>
            <w:r>
              <w:rPr>
                <w:color w:val="auto"/>
                <w:kern w:val="0"/>
                <w:szCs w:val="21"/>
                <w:lang w:bidi="ar"/>
              </w:rPr>
              <w:br w:type="textWrapping"/>
            </w:r>
            <w:r>
              <w:rPr>
                <w:color w:val="auto"/>
                <w:kern w:val="0"/>
                <w:szCs w:val="21"/>
                <w:lang w:bidi="ar"/>
              </w:rPr>
              <w:t>7.失真度MIC：≤1%；</w:t>
            </w:r>
          </w:p>
          <w:p>
            <w:pPr>
              <w:rPr>
                <w:bCs/>
                <w:color w:val="auto"/>
                <w:kern w:val="0"/>
                <w:szCs w:val="21"/>
              </w:rPr>
            </w:pPr>
            <w:r>
              <w:rPr>
                <w:color w:val="auto"/>
                <w:szCs w:val="21"/>
              </w:rPr>
              <w:t>8.</w:t>
            </w:r>
            <w:r>
              <w:rPr>
                <w:color w:val="auto"/>
                <w:kern w:val="0"/>
                <w:szCs w:val="21"/>
                <w:lang w:bidi="ar"/>
              </w:rPr>
              <w:t>为了保证系统的稳定性和兼容性，此设备与</w:t>
            </w:r>
            <w:r>
              <w:rPr>
                <w:rFonts w:hint="eastAsia"/>
                <w:color w:val="auto"/>
                <w:kern w:val="0"/>
                <w:szCs w:val="21"/>
                <w:lang w:eastAsia="zh-CN" w:bidi="ar"/>
              </w:rPr>
              <w:t>第</w:t>
            </w:r>
            <w:r>
              <w:rPr>
                <w:rFonts w:hint="eastAsia"/>
                <w:color w:val="auto"/>
                <w:kern w:val="0"/>
                <w:szCs w:val="21"/>
                <w:lang w:val="en-US" w:eastAsia="zh-CN" w:bidi="ar"/>
              </w:rPr>
              <w:t>27项</w:t>
            </w:r>
            <w:r>
              <w:rPr>
                <w:rFonts w:hint="eastAsia"/>
                <w:color w:val="auto"/>
                <w:kern w:val="0"/>
                <w:szCs w:val="21"/>
                <w:lang w:eastAsia="zh-CN" w:bidi="ar"/>
              </w:rPr>
              <w:t>“</w:t>
            </w:r>
            <w:r>
              <w:rPr>
                <w:color w:val="auto"/>
                <w:kern w:val="0"/>
                <w:szCs w:val="21"/>
              </w:rPr>
              <w:t>网络广播中心</w:t>
            </w:r>
            <w:r>
              <w:rPr>
                <w:rFonts w:hint="eastAsia"/>
                <w:color w:val="auto"/>
                <w:kern w:val="0"/>
                <w:szCs w:val="21"/>
                <w:lang w:eastAsia="zh-CN" w:bidi="ar"/>
              </w:rPr>
              <w:t>”</w:t>
            </w:r>
            <w:r>
              <w:rPr>
                <w:color w:val="auto"/>
                <w:kern w:val="0"/>
                <w:szCs w:val="21"/>
                <w:lang w:bidi="ar"/>
              </w:rPr>
              <w:t>同一品牌。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32</w:t>
            </w:r>
          </w:p>
        </w:tc>
        <w:tc>
          <w:tcPr>
            <w:tcW w:w="1134" w:type="dxa"/>
            <w:gridSpan w:val="2"/>
            <w:vAlign w:val="center"/>
          </w:tcPr>
          <w:p>
            <w:pPr>
              <w:widowControl/>
              <w:jc w:val="center"/>
              <w:rPr>
                <w:bCs/>
                <w:color w:val="auto"/>
                <w:kern w:val="0"/>
                <w:szCs w:val="21"/>
              </w:rPr>
            </w:pPr>
            <w:r>
              <w:rPr>
                <w:color w:val="auto"/>
                <w:kern w:val="0"/>
                <w:szCs w:val="21"/>
              </w:rPr>
              <w:t>三十二路消防联动网络模块</w:t>
            </w:r>
          </w:p>
        </w:tc>
        <w:tc>
          <w:tcPr>
            <w:tcW w:w="567" w:type="dxa"/>
            <w:vAlign w:val="center"/>
          </w:tcPr>
          <w:p>
            <w:pPr>
              <w:widowControl/>
              <w:jc w:val="center"/>
              <w:rPr>
                <w:bCs/>
                <w:color w:val="auto"/>
                <w:kern w:val="0"/>
                <w:szCs w:val="21"/>
              </w:rPr>
            </w:pPr>
            <w:r>
              <w:rPr>
                <w:color w:val="auto"/>
                <w:kern w:val="0"/>
                <w:szCs w:val="21"/>
              </w:rPr>
              <w:t>1块</w:t>
            </w:r>
          </w:p>
        </w:tc>
        <w:tc>
          <w:tcPr>
            <w:tcW w:w="7512" w:type="dxa"/>
            <w:vAlign w:val="top"/>
          </w:tcPr>
          <w:p>
            <w:pPr>
              <w:rPr>
                <w:bCs/>
                <w:color w:val="auto"/>
                <w:kern w:val="0"/>
                <w:szCs w:val="21"/>
              </w:rPr>
            </w:pPr>
            <w:r>
              <w:rPr>
                <w:color w:val="auto"/>
                <w:kern w:val="0"/>
                <w:szCs w:val="21"/>
                <w:lang w:bidi="ar"/>
              </w:rPr>
              <w:t>1.本模块为网络化公共广播系统与消防中心之间的接口。</w:t>
            </w:r>
            <w:r>
              <w:rPr>
                <w:color w:val="auto"/>
                <w:kern w:val="0"/>
                <w:szCs w:val="21"/>
                <w:lang w:bidi="ar"/>
              </w:rPr>
              <w:br w:type="textWrapping"/>
            </w:r>
            <w:r>
              <w:rPr>
                <w:color w:val="auto"/>
                <w:kern w:val="0"/>
                <w:szCs w:val="21"/>
                <w:lang w:bidi="ar"/>
              </w:rPr>
              <w:t>2.当接收到由消防中心发来之警报信号时，会自动激活DSPPA网络化公共广播系统相应工作区进入强行插入紧急广播状态。</w:t>
            </w:r>
            <w:r>
              <w:rPr>
                <w:color w:val="auto"/>
                <w:kern w:val="0"/>
                <w:szCs w:val="21"/>
                <w:lang w:bidi="ar"/>
              </w:rPr>
              <w:br w:type="textWrapping"/>
            </w:r>
            <w:r>
              <w:rPr>
                <w:color w:val="auto"/>
                <w:kern w:val="0"/>
                <w:szCs w:val="21"/>
                <w:lang w:bidi="ar"/>
              </w:rPr>
              <w:t>3.每台机有不少于32个消防触发通道，通过主机设置，每个通道的告警分区可任意组合。</w:t>
            </w:r>
            <w:r>
              <w:rPr>
                <w:color w:val="auto"/>
                <w:kern w:val="0"/>
                <w:szCs w:val="21"/>
                <w:lang w:bidi="ar"/>
              </w:rPr>
              <w:br w:type="textWrapping"/>
            </w:r>
            <w:r>
              <w:rPr>
                <w:color w:val="auto"/>
                <w:kern w:val="0"/>
                <w:szCs w:val="21"/>
                <w:lang w:bidi="ar"/>
              </w:rPr>
              <w:t>4.每个告警通道均含寻路故障检测功能，自动排查系统线路故障。</w:t>
            </w:r>
            <w:r>
              <w:rPr>
                <w:color w:val="auto"/>
                <w:kern w:val="0"/>
                <w:szCs w:val="21"/>
                <w:lang w:bidi="ar"/>
              </w:rPr>
              <w:br w:type="textWrapping"/>
            </w:r>
            <w:r>
              <w:rPr>
                <w:color w:val="auto"/>
                <w:kern w:val="0"/>
                <w:szCs w:val="21"/>
                <w:lang w:bidi="ar"/>
              </w:rPr>
              <w:t>5.同一系统可以有多台机连接于网络，可任意扩展控制区域。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33</w:t>
            </w:r>
          </w:p>
        </w:tc>
        <w:tc>
          <w:tcPr>
            <w:tcW w:w="1134" w:type="dxa"/>
            <w:gridSpan w:val="2"/>
            <w:vAlign w:val="center"/>
          </w:tcPr>
          <w:p>
            <w:pPr>
              <w:widowControl/>
              <w:jc w:val="center"/>
              <w:rPr>
                <w:bCs/>
                <w:color w:val="auto"/>
                <w:kern w:val="0"/>
                <w:szCs w:val="21"/>
              </w:rPr>
            </w:pPr>
            <w:r>
              <w:rPr>
                <w:color w:val="auto"/>
                <w:kern w:val="0"/>
                <w:szCs w:val="21"/>
              </w:rPr>
              <w:t>时序电源控制器</w:t>
            </w:r>
          </w:p>
        </w:tc>
        <w:tc>
          <w:tcPr>
            <w:tcW w:w="567" w:type="dxa"/>
            <w:vAlign w:val="center"/>
          </w:tcPr>
          <w:p>
            <w:pPr>
              <w:widowControl/>
              <w:jc w:val="center"/>
              <w:rPr>
                <w:bCs/>
                <w:color w:val="auto"/>
                <w:kern w:val="0"/>
                <w:szCs w:val="21"/>
              </w:rPr>
            </w:pPr>
            <w:r>
              <w:rPr>
                <w:color w:val="auto"/>
                <w:kern w:val="0"/>
                <w:szCs w:val="21"/>
              </w:rPr>
              <w:t>1台</w:t>
            </w:r>
          </w:p>
        </w:tc>
        <w:tc>
          <w:tcPr>
            <w:tcW w:w="7512" w:type="dxa"/>
            <w:vAlign w:val="top"/>
          </w:tcPr>
          <w:p>
            <w:pPr>
              <w:rPr>
                <w:color w:val="auto"/>
                <w:szCs w:val="21"/>
              </w:rPr>
            </w:pPr>
            <w:r>
              <w:rPr>
                <w:color w:val="auto"/>
                <w:szCs w:val="21"/>
              </w:rPr>
              <w:t>一、</w:t>
            </w:r>
            <w:r>
              <w:rPr>
                <w:color w:val="auto"/>
                <w:kern w:val="0"/>
                <w:szCs w:val="21"/>
              </w:rPr>
              <w:t>时序电源控制器性能要求：</w:t>
            </w:r>
          </w:p>
          <w:p>
            <w:pPr>
              <w:rPr>
                <w:bCs/>
                <w:color w:val="auto"/>
                <w:kern w:val="0"/>
                <w:szCs w:val="21"/>
              </w:rPr>
            </w:pPr>
            <w:r>
              <w:rPr>
                <w:rFonts w:hint="eastAsia" w:eastAsia="黑体"/>
                <w:b/>
                <w:color w:val="auto"/>
                <w:sz w:val="24"/>
                <w:szCs w:val="21"/>
              </w:rPr>
              <w:t>＃</w:t>
            </w:r>
            <w:r>
              <w:rPr>
                <w:color w:val="auto"/>
                <w:kern w:val="0"/>
                <w:szCs w:val="21"/>
                <w:lang w:bidi="ar"/>
              </w:rPr>
              <w:t>1.自带不小于3.4寸LED液晶屏，可显示工作状态及工作电压，</w:t>
            </w:r>
            <w:r>
              <w:rPr>
                <w:color w:val="auto"/>
              </w:rPr>
              <w:t>提供产品面板实物彩色图片标示此功能要求并加盖投标单位公章</w:t>
            </w:r>
            <w:r>
              <w:rPr>
                <w:color w:val="auto"/>
                <w:kern w:val="0"/>
                <w:szCs w:val="21"/>
                <w:lang w:bidi="ar"/>
              </w:rPr>
              <w:t>；</w:t>
            </w:r>
            <w:r>
              <w:rPr>
                <w:color w:val="auto"/>
                <w:kern w:val="0"/>
                <w:szCs w:val="21"/>
                <w:lang w:bidi="ar"/>
              </w:rPr>
              <w:br w:type="textWrapping"/>
            </w:r>
            <w:r>
              <w:rPr>
                <w:rFonts w:hint="eastAsia" w:eastAsia="黑体"/>
                <w:b/>
                <w:color w:val="auto"/>
                <w:sz w:val="24"/>
                <w:szCs w:val="21"/>
              </w:rPr>
              <w:t>＃</w:t>
            </w:r>
            <w:r>
              <w:rPr>
                <w:color w:val="auto"/>
                <w:kern w:val="0"/>
                <w:szCs w:val="21"/>
                <w:lang w:bidi="ar"/>
              </w:rPr>
              <w:t>2.可适应不同国家供电电压不同的需求自带220V-230V交流电源供电及110-115V交流电源供电，自带电压切换开关，</w:t>
            </w:r>
            <w:r>
              <w:rPr>
                <w:color w:val="auto"/>
              </w:rPr>
              <w:t>提供相关证明材料（包括但不限于彩页、官网和功能截图）</w:t>
            </w:r>
            <w:r>
              <w:rPr>
                <w:color w:val="auto"/>
                <w:kern w:val="0"/>
                <w:szCs w:val="21"/>
                <w:lang w:bidi="ar"/>
              </w:rPr>
              <w:t>；</w:t>
            </w:r>
            <w:r>
              <w:rPr>
                <w:color w:val="auto"/>
                <w:kern w:val="0"/>
                <w:szCs w:val="21"/>
                <w:lang w:bidi="ar"/>
              </w:rPr>
              <w:br w:type="textWrapping"/>
            </w:r>
            <w:r>
              <w:rPr>
                <w:rFonts w:hint="eastAsia" w:eastAsia="黑体"/>
                <w:b/>
                <w:color w:val="auto"/>
                <w:sz w:val="24"/>
                <w:szCs w:val="21"/>
              </w:rPr>
              <w:t>＃</w:t>
            </w:r>
            <w:r>
              <w:rPr>
                <w:color w:val="auto"/>
                <w:kern w:val="0"/>
                <w:szCs w:val="21"/>
                <w:lang w:bidi="ar"/>
              </w:rPr>
              <w:t>3.不小于2路RJ45接口便于数据交换及管理控制，</w:t>
            </w:r>
            <w:r>
              <w:rPr>
                <w:color w:val="auto"/>
              </w:rPr>
              <w:t>提供产品面板实物彩色图片标示此功能要求并加盖投标单位公章</w:t>
            </w:r>
            <w:r>
              <w:rPr>
                <w:color w:val="auto"/>
                <w:kern w:val="0"/>
                <w:szCs w:val="21"/>
                <w:lang w:bidi="ar"/>
              </w:rPr>
              <w:t>；</w:t>
            </w:r>
            <w:r>
              <w:rPr>
                <w:color w:val="auto"/>
                <w:kern w:val="0"/>
                <w:szCs w:val="21"/>
                <w:lang w:bidi="ar"/>
              </w:rPr>
              <w:br w:type="textWrapping"/>
            </w:r>
            <w:r>
              <w:rPr>
                <w:rFonts w:hint="eastAsia" w:eastAsia="黑体"/>
                <w:b/>
                <w:color w:val="auto"/>
                <w:sz w:val="24"/>
                <w:szCs w:val="21"/>
              </w:rPr>
              <w:t>＃</w:t>
            </w:r>
            <w:r>
              <w:rPr>
                <w:color w:val="auto"/>
                <w:kern w:val="0"/>
                <w:szCs w:val="21"/>
                <w:lang w:bidi="ar"/>
              </w:rPr>
              <w:t>4.设备自带4位拨码开关，可同时接于1000台以上设备而互不干扰方便管理，</w:t>
            </w:r>
            <w:r>
              <w:rPr>
                <w:color w:val="auto"/>
              </w:rPr>
              <w:t>提供相关证明材料</w:t>
            </w:r>
            <w:r>
              <w:rPr>
                <w:rFonts w:hint="eastAsia"/>
                <w:color w:val="auto"/>
              </w:rPr>
              <w:t>提供产品面板实物彩色图片标示此功能要求并加盖投标单位公章</w:t>
            </w:r>
            <w:r>
              <w:rPr>
                <w:color w:val="auto"/>
              </w:rPr>
              <w:t>）</w:t>
            </w:r>
            <w:r>
              <w:rPr>
                <w:color w:val="auto"/>
                <w:kern w:val="0"/>
                <w:szCs w:val="21"/>
                <w:lang w:bidi="ar"/>
              </w:rPr>
              <w:t>。</w:t>
            </w:r>
            <w:r>
              <w:rPr>
                <w:color w:val="auto"/>
                <w:kern w:val="0"/>
                <w:szCs w:val="21"/>
                <w:lang w:bidi="ar"/>
              </w:rPr>
              <w:br w:type="textWrapping"/>
            </w:r>
            <w:r>
              <w:rPr>
                <w:color w:val="auto"/>
                <w:kern w:val="0"/>
                <w:szCs w:val="21"/>
                <w:lang w:bidi="ar"/>
              </w:rPr>
              <w:t>5.为了保证系统的稳定性和兼容性，此设备与</w:t>
            </w:r>
            <w:r>
              <w:rPr>
                <w:rFonts w:hint="eastAsia"/>
                <w:color w:val="auto"/>
                <w:kern w:val="0"/>
                <w:szCs w:val="21"/>
                <w:lang w:eastAsia="zh-CN" w:bidi="ar"/>
              </w:rPr>
              <w:t>第</w:t>
            </w:r>
            <w:r>
              <w:rPr>
                <w:rFonts w:hint="eastAsia"/>
                <w:color w:val="auto"/>
                <w:kern w:val="0"/>
                <w:szCs w:val="21"/>
                <w:lang w:val="en-US" w:eastAsia="zh-CN" w:bidi="ar"/>
              </w:rPr>
              <w:t>27项</w:t>
            </w:r>
            <w:r>
              <w:rPr>
                <w:rFonts w:hint="eastAsia"/>
                <w:color w:val="auto"/>
                <w:kern w:val="0"/>
                <w:szCs w:val="21"/>
                <w:lang w:eastAsia="zh-CN" w:bidi="ar"/>
              </w:rPr>
              <w:t>“</w:t>
            </w:r>
            <w:r>
              <w:rPr>
                <w:color w:val="auto"/>
                <w:kern w:val="0"/>
                <w:szCs w:val="21"/>
              </w:rPr>
              <w:t>网络广播中心</w:t>
            </w:r>
            <w:r>
              <w:rPr>
                <w:rFonts w:hint="eastAsia"/>
                <w:color w:val="auto"/>
                <w:kern w:val="0"/>
                <w:szCs w:val="21"/>
                <w:lang w:eastAsia="zh-CN" w:bidi="ar"/>
              </w:rPr>
              <w:t>”</w:t>
            </w:r>
            <w:r>
              <w:rPr>
                <w:color w:val="auto"/>
                <w:kern w:val="0"/>
                <w:szCs w:val="21"/>
                <w:lang w:bidi="ar"/>
              </w:rPr>
              <w:t>同一品牌。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34</w:t>
            </w:r>
          </w:p>
        </w:tc>
        <w:tc>
          <w:tcPr>
            <w:tcW w:w="1134" w:type="dxa"/>
            <w:gridSpan w:val="2"/>
            <w:vAlign w:val="center"/>
          </w:tcPr>
          <w:p>
            <w:pPr>
              <w:widowControl/>
              <w:jc w:val="center"/>
              <w:rPr>
                <w:bCs/>
                <w:color w:val="auto"/>
                <w:kern w:val="0"/>
                <w:szCs w:val="21"/>
              </w:rPr>
            </w:pPr>
            <w:r>
              <w:rPr>
                <w:color w:val="auto"/>
                <w:kern w:val="0"/>
                <w:szCs w:val="21"/>
              </w:rPr>
              <w:t>机柜</w:t>
            </w:r>
          </w:p>
        </w:tc>
        <w:tc>
          <w:tcPr>
            <w:tcW w:w="567" w:type="dxa"/>
            <w:vAlign w:val="center"/>
          </w:tcPr>
          <w:p>
            <w:pPr>
              <w:widowControl/>
              <w:jc w:val="center"/>
              <w:rPr>
                <w:bCs/>
                <w:color w:val="auto"/>
                <w:kern w:val="0"/>
                <w:szCs w:val="21"/>
              </w:rPr>
            </w:pPr>
            <w:r>
              <w:rPr>
                <w:color w:val="auto"/>
                <w:kern w:val="0"/>
                <w:szCs w:val="21"/>
              </w:rPr>
              <w:t>1个</w:t>
            </w:r>
          </w:p>
        </w:tc>
        <w:tc>
          <w:tcPr>
            <w:tcW w:w="7512" w:type="dxa"/>
            <w:vAlign w:val="top"/>
          </w:tcPr>
          <w:p>
            <w:pPr>
              <w:rPr>
                <w:color w:val="auto"/>
                <w:szCs w:val="21"/>
              </w:rPr>
            </w:pPr>
            <w:r>
              <w:rPr>
                <w:color w:val="auto"/>
                <w:szCs w:val="21"/>
              </w:rPr>
              <w:t>1.尺寸（长*宽*高）: 约1472*535*485mm；</w:t>
            </w:r>
          </w:p>
          <w:p>
            <w:pPr>
              <w:rPr>
                <w:color w:val="auto"/>
                <w:szCs w:val="21"/>
              </w:rPr>
            </w:pPr>
            <w:r>
              <w:rPr>
                <w:color w:val="auto"/>
                <w:szCs w:val="21"/>
              </w:rPr>
              <w:t>2.颜色: 黑色；　　</w:t>
            </w:r>
          </w:p>
          <w:p>
            <w:pPr>
              <w:rPr>
                <w:color w:val="auto"/>
                <w:szCs w:val="21"/>
              </w:rPr>
            </w:pPr>
            <w:r>
              <w:rPr>
                <w:color w:val="auto"/>
                <w:szCs w:val="21"/>
              </w:rPr>
              <w:t>3.结构材料：铝材；</w:t>
            </w:r>
          </w:p>
          <w:p>
            <w:pPr>
              <w:rPr>
                <w:color w:val="auto"/>
                <w:szCs w:val="21"/>
              </w:rPr>
            </w:pPr>
            <w:r>
              <w:rPr>
                <w:color w:val="auto"/>
                <w:szCs w:val="21"/>
              </w:rPr>
              <w:t>4.标准化模式，以满足各种需求；</w:t>
            </w:r>
          </w:p>
          <w:p>
            <w:pPr>
              <w:rPr>
                <w:color w:val="auto"/>
                <w:szCs w:val="21"/>
              </w:rPr>
            </w:pPr>
            <w:r>
              <w:rPr>
                <w:color w:val="auto"/>
                <w:szCs w:val="21"/>
              </w:rPr>
              <w:t xml:space="preserve">5.采用高强度钢制可拆装式机柜，最大承载重量达500公斤； </w:t>
            </w:r>
          </w:p>
          <w:p>
            <w:pPr>
              <w:rPr>
                <w:color w:val="auto"/>
                <w:szCs w:val="21"/>
              </w:rPr>
            </w:pPr>
            <w:r>
              <w:rPr>
                <w:color w:val="auto"/>
                <w:szCs w:val="21"/>
              </w:rPr>
              <w:t>6.安装空间29U规格；</w:t>
            </w:r>
          </w:p>
          <w:p>
            <w:pPr>
              <w:rPr>
                <w:color w:val="auto"/>
                <w:szCs w:val="21"/>
              </w:rPr>
            </w:pPr>
            <w:r>
              <w:rPr>
                <w:color w:val="auto"/>
                <w:szCs w:val="21"/>
              </w:rPr>
              <w:t>7.机柜内设计4条可调节铝型材槽轨；</w:t>
            </w:r>
          </w:p>
          <w:p>
            <w:pPr>
              <w:rPr>
                <w:bCs/>
                <w:color w:val="auto"/>
                <w:kern w:val="0"/>
                <w:szCs w:val="21"/>
              </w:rPr>
            </w:pPr>
            <w:r>
              <w:rPr>
                <w:color w:val="auto"/>
                <w:szCs w:val="21"/>
              </w:rPr>
              <w:t>8.底座可着地或安装活动脚轮；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35</w:t>
            </w:r>
          </w:p>
        </w:tc>
        <w:tc>
          <w:tcPr>
            <w:tcW w:w="1134" w:type="dxa"/>
            <w:gridSpan w:val="2"/>
            <w:vAlign w:val="center"/>
          </w:tcPr>
          <w:p>
            <w:pPr>
              <w:widowControl/>
              <w:jc w:val="center"/>
              <w:rPr>
                <w:color w:val="auto"/>
                <w:kern w:val="0"/>
                <w:szCs w:val="21"/>
              </w:rPr>
            </w:pPr>
            <w:r>
              <w:rPr>
                <w:color w:val="auto"/>
                <w:kern w:val="0"/>
                <w:szCs w:val="21"/>
              </w:rPr>
              <w:t>系统</w:t>
            </w:r>
          </w:p>
          <w:p>
            <w:pPr>
              <w:widowControl/>
              <w:jc w:val="center"/>
              <w:rPr>
                <w:bCs/>
                <w:color w:val="auto"/>
                <w:kern w:val="0"/>
                <w:szCs w:val="21"/>
              </w:rPr>
            </w:pPr>
            <w:r>
              <w:rPr>
                <w:color w:val="auto"/>
                <w:kern w:val="0"/>
                <w:szCs w:val="21"/>
              </w:rPr>
              <w:t>工作站</w:t>
            </w:r>
          </w:p>
        </w:tc>
        <w:tc>
          <w:tcPr>
            <w:tcW w:w="567" w:type="dxa"/>
            <w:vAlign w:val="center"/>
          </w:tcPr>
          <w:p>
            <w:pPr>
              <w:widowControl/>
              <w:jc w:val="center"/>
              <w:rPr>
                <w:bCs/>
                <w:color w:val="auto"/>
                <w:kern w:val="0"/>
                <w:szCs w:val="21"/>
              </w:rPr>
            </w:pPr>
            <w:r>
              <w:rPr>
                <w:color w:val="auto"/>
                <w:kern w:val="0"/>
                <w:szCs w:val="21"/>
              </w:rPr>
              <w:t>1台</w:t>
            </w:r>
          </w:p>
        </w:tc>
        <w:tc>
          <w:tcPr>
            <w:tcW w:w="7512" w:type="dxa"/>
            <w:vAlign w:val="top"/>
          </w:tcPr>
          <w:p>
            <w:pPr>
              <w:rPr>
                <w:color w:val="auto"/>
                <w:szCs w:val="21"/>
              </w:rPr>
            </w:pPr>
            <w:r>
              <w:rPr>
                <w:color w:val="auto"/>
                <w:szCs w:val="21"/>
              </w:rPr>
              <w:t xml:space="preserve">1.CPU：Intel </w:t>
            </w:r>
            <w:r>
              <w:rPr>
                <w:rFonts w:hint="eastAsia"/>
                <w:color w:val="auto"/>
                <w:szCs w:val="21"/>
              </w:rPr>
              <w:t>六</w:t>
            </w:r>
            <w:r>
              <w:rPr>
                <w:color w:val="auto"/>
                <w:szCs w:val="21"/>
              </w:rPr>
              <w:t>核 I7-9700或同等档次及以上；</w:t>
            </w:r>
          </w:p>
          <w:p>
            <w:pPr>
              <w:pStyle w:val="148"/>
              <w:ind w:firstLine="0" w:firstLineChars="0"/>
              <w:rPr>
                <w:rFonts w:ascii="Times New Roman" w:hAnsi="Times New Roman"/>
                <w:color w:val="auto"/>
                <w:szCs w:val="21"/>
              </w:rPr>
            </w:pPr>
            <w:r>
              <w:rPr>
                <w:rFonts w:ascii="Times New Roman" w:hAnsi="Times New Roman"/>
                <w:color w:val="auto"/>
                <w:position w:val="-2"/>
                <w:szCs w:val="21"/>
              </w:rPr>
              <w:t>2.</w:t>
            </w:r>
            <w:r>
              <w:rPr>
                <w:rFonts w:ascii="Times New Roman" w:hAnsi="Times New Roman"/>
                <w:color w:val="auto"/>
                <w:szCs w:val="21"/>
              </w:rPr>
              <w:t>主板：≥Intel 300 PCI系列同等档次及以上芯片组，具备BIOS底层集成智能USB技术（可实现对外接存储设备管理，防止非法U盘等接入），满足设备管理安全需求；</w:t>
            </w:r>
          </w:p>
          <w:p>
            <w:pPr>
              <w:rPr>
                <w:color w:val="auto"/>
                <w:szCs w:val="21"/>
              </w:rPr>
            </w:pPr>
            <w:r>
              <w:rPr>
                <w:color w:val="auto"/>
                <w:szCs w:val="21"/>
              </w:rPr>
              <w:t>3.内存：配置≥</w:t>
            </w:r>
            <w:r>
              <w:rPr>
                <w:rFonts w:hint="eastAsia"/>
                <w:color w:val="auto"/>
                <w:szCs w:val="21"/>
              </w:rPr>
              <w:t>8</w:t>
            </w:r>
            <w:r>
              <w:rPr>
                <w:color w:val="auto"/>
                <w:szCs w:val="21"/>
              </w:rPr>
              <w:t>G DDR4 ，内存槽位≥2条；</w:t>
            </w:r>
          </w:p>
          <w:p>
            <w:pPr>
              <w:rPr>
                <w:color w:val="auto"/>
                <w:szCs w:val="21"/>
              </w:rPr>
            </w:pPr>
            <w:r>
              <w:rPr>
                <w:color w:val="auto"/>
                <w:position w:val="-2"/>
                <w:szCs w:val="21"/>
              </w:rPr>
              <w:t>4.</w:t>
            </w:r>
            <w:r>
              <w:rPr>
                <w:color w:val="auto"/>
                <w:szCs w:val="21"/>
              </w:rPr>
              <w:t>硬盘：≥1000GB SATA3 7200rpm硬盘；</w:t>
            </w:r>
          </w:p>
          <w:p>
            <w:pPr>
              <w:rPr>
                <w:color w:val="auto"/>
                <w:szCs w:val="21"/>
              </w:rPr>
            </w:pPr>
            <w:r>
              <w:rPr>
                <w:color w:val="auto"/>
                <w:position w:val="-2"/>
                <w:szCs w:val="21"/>
              </w:rPr>
              <w:t>5</w:t>
            </w:r>
            <w:r>
              <w:rPr>
                <w:color w:val="auto"/>
                <w:szCs w:val="21"/>
              </w:rPr>
              <w:t>.接口：≥10个USB接口（至少6个USB 3.0接口</w:t>
            </w:r>
            <w:r>
              <w:rPr>
                <w:rFonts w:hint="eastAsia"/>
                <w:color w:val="auto"/>
                <w:szCs w:val="21"/>
              </w:rPr>
              <w:t>，</w:t>
            </w:r>
            <w:r>
              <w:rPr>
                <w:color w:val="auto"/>
                <w:szCs w:val="21"/>
              </w:rPr>
              <w:t>前置≥4个USB 3.0接口），PS/2接口，HDMI、VGA接口，可选多合一读卡器；</w:t>
            </w:r>
          </w:p>
          <w:p>
            <w:pPr>
              <w:rPr>
                <w:color w:val="auto"/>
                <w:szCs w:val="21"/>
              </w:rPr>
            </w:pPr>
            <w:r>
              <w:rPr>
                <w:color w:val="auto"/>
                <w:szCs w:val="21"/>
              </w:rPr>
              <w:t>6. 机箱：标准MATX立式机箱，小于16L，机箱具备防尘功能，等级不低于国际标准IP5X级；</w:t>
            </w:r>
          </w:p>
          <w:p>
            <w:pPr>
              <w:rPr>
                <w:bCs/>
                <w:color w:val="auto"/>
                <w:kern w:val="0"/>
                <w:szCs w:val="21"/>
              </w:rPr>
            </w:pPr>
            <w:r>
              <w:rPr>
                <w:color w:val="auto"/>
                <w:szCs w:val="21"/>
              </w:rPr>
              <w:t>7. 电源：≤180W 节能电源；考虑到使用条件，要求投标产品在电压偏低、波动的恶劣供电条件下也可正常工作，须通过恶劣供电检验认证，可实现主板直流供电拉偏±6%，电源交流输入电压165V至265V；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36</w:t>
            </w:r>
          </w:p>
        </w:tc>
        <w:tc>
          <w:tcPr>
            <w:tcW w:w="1134" w:type="dxa"/>
            <w:gridSpan w:val="2"/>
            <w:vAlign w:val="center"/>
          </w:tcPr>
          <w:p>
            <w:pPr>
              <w:widowControl/>
              <w:jc w:val="center"/>
              <w:rPr>
                <w:bCs/>
                <w:color w:val="auto"/>
                <w:kern w:val="0"/>
                <w:szCs w:val="21"/>
              </w:rPr>
            </w:pPr>
            <w:r>
              <w:rPr>
                <w:color w:val="auto"/>
                <w:kern w:val="0"/>
                <w:szCs w:val="21"/>
              </w:rPr>
              <w:t>平台融合软件</w:t>
            </w:r>
          </w:p>
        </w:tc>
        <w:tc>
          <w:tcPr>
            <w:tcW w:w="567" w:type="dxa"/>
            <w:vAlign w:val="center"/>
          </w:tcPr>
          <w:p>
            <w:pPr>
              <w:widowControl/>
              <w:jc w:val="center"/>
              <w:rPr>
                <w:bCs/>
                <w:color w:val="auto"/>
                <w:kern w:val="0"/>
                <w:szCs w:val="21"/>
              </w:rPr>
            </w:pPr>
            <w:r>
              <w:rPr>
                <w:color w:val="auto"/>
                <w:kern w:val="0"/>
                <w:szCs w:val="21"/>
              </w:rPr>
              <w:t>1套</w:t>
            </w:r>
          </w:p>
        </w:tc>
        <w:tc>
          <w:tcPr>
            <w:tcW w:w="7512" w:type="dxa"/>
            <w:vAlign w:val="top"/>
          </w:tcPr>
          <w:p>
            <w:pPr>
              <w:rPr>
                <w:bCs/>
                <w:color w:val="auto"/>
                <w:kern w:val="0"/>
                <w:szCs w:val="21"/>
              </w:rPr>
            </w:pPr>
            <w:r>
              <w:rPr>
                <w:color w:val="auto"/>
                <w:kern w:val="0"/>
                <w:szCs w:val="21"/>
                <w:lang w:bidi="ar"/>
              </w:rPr>
              <w:t>通过主控软件统一集中控制管理所有教室的可以将网络广播系统、LED时钟显示屏、屏蔽仪三项系统融合到一个软件上操作，实现三者无缝兼容对接，在一个软件平台内实现全部考试内容任意分区播放，定时播放，任意分区的手机信号屏蔽，LED考试时间管理及相关信息推送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37</w:t>
            </w:r>
          </w:p>
        </w:tc>
        <w:tc>
          <w:tcPr>
            <w:tcW w:w="1134" w:type="dxa"/>
            <w:gridSpan w:val="2"/>
            <w:vAlign w:val="center"/>
          </w:tcPr>
          <w:p>
            <w:pPr>
              <w:widowControl/>
              <w:jc w:val="center"/>
              <w:rPr>
                <w:bCs/>
                <w:color w:val="auto"/>
                <w:kern w:val="0"/>
                <w:szCs w:val="21"/>
              </w:rPr>
            </w:pPr>
            <w:r>
              <w:rPr>
                <w:color w:val="auto"/>
                <w:kern w:val="0"/>
                <w:szCs w:val="21"/>
              </w:rPr>
              <w:t>网络化智能寻呼站</w:t>
            </w:r>
          </w:p>
        </w:tc>
        <w:tc>
          <w:tcPr>
            <w:tcW w:w="567" w:type="dxa"/>
            <w:vAlign w:val="center"/>
          </w:tcPr>
          <w:p>
            <w:pPr>
              <w:widowControl/>
              <w:jc w:val="center"/>
              <w:rPr>
                <w:bCs/>
                <w:color w:val="auto"/>
                <w:kern w:val="0"/>
                <w:szCs w:val="21"/>
              </w:rPr>
            </w:pPr>
            <w:r>
              <w:rPr>
                <w:color w:val="auto"/>
                <w:kern w:val="0"/>
                <w:szCs w:val="21"/>
              </w:rPr>
              <w:t>1台</w:t>
            </w:r>
          </w:p>
        </w:tc>
        <w:tc>
          <w:tcPr>
            <w:tcW w:w="7512" w:type="dxa"/>
            <w:vAlign w:val="top"/>
          </w:tcPr>
          <w:p>
            <w:pPr>
              <w:rPr>
                <w:color w:val="auto"/>
                <w:kern w:val="0"/>
                <w:szCs w:val="21"/>
                <w:lang w:bidi="ar"/>
              </w:rPr>
            </w:pPr>
            <w:r>
              <w:rPr>
                <w:color w:val="auto"/>
                <w:kern w:val="0"/>
                <w:szCs w:val="21"/>
                <w:lang w:bidi="ar"/>
              </w:rPr>
              <w:t>1.支持100/10Mbps自适应TCP/IP网络传输协议；</w:t>
            </w:r>
            <w:r>
              <w:rPr>
                <w:color w:val="auto"/>
                <w:kern w:val="0"/>
                <w:szCs w:val="21"/>
                <w:lang w:bidi="ar"/>
              </w:rPr>
              <w:br w:type="textWrapping"/>
            </w:r>
            <w:r>
              <w:rPr>
                <w:color w:val="auto"/>
                <w:kern w:val="0"/>
                <w:szCs w:val="21"/>
                <w:lang w:bidi="ar"/>
              </w:rPr>
              <w:t>2.采用</w:t>
            </w:r>
            <w:r>
              <w:rPr>
                <w:rFonts w:hint="eastAsia"/>
                <w:color w:val="auto"/>
                <w:kern w:val="0"/>
                <w:szCs w:val="21"/>
                <w:lang w:bidi="ar"/>
              </w:rPr>
              <w:t>约</w:t>
            </w:r>
            <w:r>
              <w:rPr>
                <w:color w:val="auto"/>
                <w:kern w:val="0"/>
                <w:szCs w:val="21"/>
                <w:lang w:bidi="ar"/>
              </w:rPr>
              <w:t>7寸真彩触摸彩屏、铝合金拉丝工业面板设计；</w:t>
            </w:r>
            <w:r>
              <w:rPr>
                <w:color w:val="auto"/>
                <w:kern w:val="0"/>
                <w:szCs w:val="21"/>
                <w:lang w:bidi="ar"/>
              </w:rPr>
              <w:br w:type="textWrapping"/>
            </w:r>
            <w:r>
              <w:rPr>
                <w:color w:val="auto"/>
                <w:kern w:val="0"/>
                <w:szCs w:val="21"/>
                <w:lang w:bidi="ar"/>
              </w:rPr>
              <w:t>3.桌面式结构设计；</w:t>
            </w:r>
            <w:r>
              <w:rPr>
                <w:color w:val="auto"/>
                <w:kern w:val="0"/>
                <w:szCs w:val="21"/>
                <w:lang w:bidi="ar"/>
              </w:rPr>
              <w:br w:type="textWrapping"/>
            </w:r>
            <w:r>
              <w:rPr>
                <w:color w:val="auto"/>
                <w:kern w:val="0"/>
                <w:szCs w:val="21"/>
                <w:lang w:bidi="ar"/>
              </w:rPr>
              <w:t>4.采用高保真与手持式动圈话筒设计；</w:t>
            </w:r>
          </w:p>
          <w:p>
            <w:pPr>
              <w:rPr>
                <w:color w:val="auto"/>
                <w:kern w:val="0"/>
                <w:szCs w:val="21"/>
                <w:lang w:bidi="ar"/>
              </w:rPr>
            </w:pPr>
            <w:r>
              <w:rPr>
                <w:color w:val="auto"/>
                <w:kern w:val="0"/>
                <w:szCs w:val="21"/>
                <w:lang w:bidi="ar"/>
              </w:rPr>
              <w:t>5.带有手动快捷按键，方便紧要时快速寻呼；</w:t>
            </w:r>
            <w:r>
              <w:rPr>
                <w:color w:val="auto"/>
                <w:kern w:val="0"/>
                <w:szCs w:val="21"/>
                <w:lang w:bidi="ar"/>
              </w:rPr>
              <w:br w:type="textWrapping"/>
            </w:r>
            <w:r>
              <w:rPr>
                <w:rFonts w:hint="eastAsia" w:eastAsia="黑体"/>
                <w:b/>
                <w:color w:val="auto"/>
                <w:sz w:val="24"/>
                <w:szCs w:val="21"/>
              </w:rPr>
              <w:t>＃</w:t>
            </w:r>
            <w:r>
              <w:rPr>
                <w:color w:val="auto"/>
                <w:szCs w:val="21"/>
              </w:rPr>
              <w:t>6.</w:t>
            </w:r>
            <w:r>
              <w:rPr>
                <w:color w:val="auto"/>
                <w:kern w:val="0"/>
                <w:szCs w:val="21"/>
                <w:lang w:bidi="ar"/>
              </w:rPr>
              <w:t>内置3W监听扬声器，方便预听节目与对讲使用</w:t>
            </w:r>
            <w:r>
              <w:rPr>
                <w:color w:val="auto"/>
              </w:rPr>
              <w:t>，</w:t>
            </w:r>
            <w:r>
              <w:rPr>
                <w:color w:val="auto"/>
                <w:kern w:val="0"/>
                <w:szCs w:val="21"/>
                <w:lang w:bidi="ar"/>
              </w:rPr>
              <w:t>具有多段电平指示功能，讲话声压更直观，</w:t>
            </w:r>
            <w:r>
              <w:rPr>
                <w:color w:val="auto"/>
              </w:rPr>
              <w:t>提供相关证明材料</w:t>
            </w:r>
            <w:r>
              <w:rPr>
                <w:rFonts w:hint="eastAsia"/>
                <w:color w:val="auto"/>
              </w:rPr>
              <w:t>提供产品面板实物彩色图片标示此功能要求并加盖投标单位公章</w:t>
            </w:r>
            <w:r>
              <w:rPr>
                <w:color w:val="auto"/>
              </w:rPr>
              <w:t>）</w:t>
            </w:r>
            <w:r>
              <w:rPr>
                <w:color w:val="auto"/>
                <w:kern w:val="0"/>
                <w:szCs w:val="21"/>
                <w:lang w:bidi="ar"/>
              </w:rPr>
              <w:t>；</w:t>
            </w:r>
          </w:p>
          <w:p>
            <w:pPr>
              <w:rPr>
                <w:color w:val="auto"/>
                <w:kern w:val="0"/>
                <w:szCs w:val="21"/>
                <w:lang w:bidi="ar"/>
              </w:rPr>
            </w:pPr>
            <w:r>
              <w:rPr>
                <w:rFonts w:hint="eastAsia" w:eastAsia="黑体"/>
                <w:b/>
                <w:color w:val="auto"/>
                <w:sz w:val="24"/>
                <w:szCs w:val="21"/>
              </w:rPr>
              <w:t>＃</w:t>
            </w:r>
            <w:r>
              <w:rPr>
                <w:color w:val="auto"/>
                <w:kern w:val="0"/>
                <w:szCs w:val="21"/>
                <w:lang w:bidi="ar"/>
              </w:rPr>
              <w:t>7.具有一路线路输入（可扩展外置节目源、无线话筒等接入），一路本地线路输出(可脱机输出本地功放寻呼)，一路辅助线路输出(扩展监听功率)，</w:t>
            </w:r>
            <w:r>
              <w:rPr>
                <w:color w:val="auto"/>
              </w:rPr>
              <w:t>提供产品面板实物彩色图片标示此功能要求并加盖投标单位公章</w:t>
            </w:r>
            <w:r>
              <w:rPr>
                <w:color w:val="auto"/>
                <w:kern w:val="0"/>
                <w:szCs w:val="21"/>
                <w:lang w:bidi="ar"/>
              </w:rPr>
              <w:t>；</w:t>
            </w:r>
          </w:p>
          <w:p>
            <w:pPr>
              <w:rPr>
                <w:color w:val="auto"/>
                <w:kern w:val="0"/>
                <w:szCs w:val="21"/>
                <w:lang w:bidi="ar"/>
              </w:rPr>
            </w:pPr>
            <w:r>
              <w:rPr>
                <w:color w:val="auto"/>
                <w:kern w:val="0"/>
                <w:szCs w:val="21"/>
                <w:lang w:bidi="ar"/>
              </w:rPr>
              <w:t>8.图形人性化设计，显示内容更直观；</w:t>
            </w:r>
            <w:r>
              <w:rPr>
                <w:color w:val="auto"/>
                <w:kern w:val="0"/>
                <w:szCs w:val="21"/>
                <w:lang w:bidi="ar"/>
              </w:rPr>
              <w:br w:type="textWrapping"/>
            </w:r>
            <w:r>
              <w:rPr>
                <w:color w:val="auto"/>
                <w:kern w:val="0"/>
                <w:szCs w:val="21"/>
                <w:lang w:bidi="ar"/>
              </w:rPr>
              <w:t>9.内置大动态范围的AGC处理电路；</w:t>
            </w:r>
            <w:r>
              <w:rPr>
                <w:color w:val="auto"/>
                <w:kern w:val="0"/>
                <w:szCs w:val="21"/>
                <w:lang w:bidi="ar"/>
              </w:rPr>
              <w:br w:type="textWrapping"/>
            </w:r>
            <w:r>
              <w:rPr>
                <w:color w:val="auto"/>
                <w:kern w:val="0"/>
                <w:szCs w:val="21"/>
                <w:lang w:bidi="ar"/>
              </w:rPr>
              <w:t>10.内置DSP声音处理电路；</w:t>
            </w:r>
            <w:r>
              <w:rPr>
                <w:color w:val="auto"/>
                <w:kern w:val="0"/>
                <w:szCs w:val="21"/>
                <w:lang w:bidi="ar"/>
              </w:rPr>
              <w:br w:type="textWrapping"/>
            </w:r>
            <w:r>
              <w:rPr>
                <w:color w:val="auto"/>
                <w:kern w:val="0"/>
                <w:szCs w:val="21"/>
                <w:lang w:bidi="ar"/>
              </w:rPr>
              <w:t>11.采用嵌入式实时系统平 ，采用高性能ARM处理器；</w:t>
            </w:r>
            <w:r>
              <w:rPr>
                <w:color w:val="auto"/>
                <w:kern w:val="0"/>
                <w:szCs w:val="21"/>
                <w:lang w:bidi="ar"/>
              </w:rPr>
              <w:br w:type="textWrapping"/>
            </w:r>
            <w:r>
              <w:rPr>
                <w:color w:val="auto"/>
                <w:kern w:val="0"/>
                <w:szCs w:val="21"/>
                <w:lang w:bidi="ar"/>
              </w:rPr>
              <w:t>12.可对网络播放终端分组编辑；</w:t>
            </w:r>
            <w:r>
              <w:rPr>
                <w:color w:val="auto"/>
                <w:kern w:val="0"/>
                <w:szCs w:val="21"/>
                <w:lang w:bidi="ar"/>
              </w:rPr>
              <w:br w:type="textWrapping"/>
            </w:r>
            <w:r>
              <w:rPr>
                <w:color w:val="auto"/>
                <w:kern w:val="0"/>
                <w:szCs w:val="21"/>
                <w:lang w:bidi="ar"/>
              </w:rPr>
              <w:t>13.内置钟声提示音；</w:t>
            </w:r>
            <w:r>
              <w:rPr>
                <w:color w:val="auto"/>
                <w:kern w:val="0"/>
                <w:szCs w:val="21"/>
                <w:lang w:bidi="ar"/>
              </w:rPr>
              <w:br w:type="textWrapping"/>
            </w:r>
            <w:r>
              <w:rPr>
                <w:color w:val="auto"/>
                <w:kern w:val="0"/>
                <w:szCs w:val="21"/>
                <w:lang w:bidi="ar"/>
              </w:rPr>
              <w:t>14.可对网络播放终端选定寻呼、对讲功能；</w:t>
            </w:r>
            <w:r>
              <w:rPr>
                <w:color w:val="auto"/>
                <w:kern w:val="0"/>
                <w:szCs w:val="21"/>
                <w:lang w:bidi="ar"/>
              </w:rPr>
              <w:br w:type="textWrapping"/>
            </w:r>
            <w:r>
              <w:rPr>
                <w:color w:val="auto"/>
                <w:kern w:val="0"/>
                <w:szCs w:val="21"/>
                <w:lang w:bidi="ar"/>
              </w:rPr>
              <w:t>15.智能寻呼之间能相互寻呼、对讲；</w:t>
            </w:r>
            <w:r>
              <w:rPr>
                <w:color w:val="auto"/>
                <w:kern w:val="0"/>
                <w:szCs w:val="21"/>
                <w:lang w:bidi="ar"/>
              </w:rPr>
              <w:br w:type="textWrapping"/>
            </w:r>
            <w:r>
              <w:rPr>
                <w:color w:val="auto"/>
                <w:kern w:val="0"/>
                <w:szCs w:val="21"/>
                <w:lang w:bidi="ar"/>
              </w:rPr>
              <w:t>16.可播放网络主机节目库歌曲；</w:t>
            </w:r>
            <w:r>
              <w:rPr>
                <w:color w:val="auto"/>
                <w:kern w:val="0"/>
                <w:szCs w:val="21"/>
                <w:lang w:bidi="ar"/>
              </w:rPr>
              <w:br w:type="textWrapping"/>
            </w:r>
            <w:r>
              <w:rPr>
                <w:color w:val="auto"/>
                <w:kern w:val="0"/>
                <w:szCs w:val="21"/>
                <w:lang w:bidi="ar"/>
              </w:rPr>
              <w:t>17.具有音频日志记录功能，可对寻呼的内容实时寻音记录，并可播放查阅；</w:t>
            </w:r>
            <w:r>
              <w:rPr>
                <w:color w:val="auto"/>
                <w:kern w:val="0"/>
                <w:szCs w:val="21"/>
                <w:lang w:bidi="ar"/>
              </w:rPr>
              <w:br w:type="textWrapping"/>
            </w:r>
            <w:r>
              <w:rPr>
                <w:color w:val="auto"/>
                <w:kern w:val="0"/>
                <w:szCs w:val="21"/>
                <w:lang w:bidi="ar"/>
              </w:rPr>
              <w:t>18.具有用户密码与权限管理；</w:t>
            </w:r>
            <w:r>
              <w:rPr>
                <w:color w:val="auto"/>
                <w:kern w:val="0"/>
                <w:szCs w:val="21"/>
                <w:lang w:bidi="ar"/>
              </w:rPr>
              <w:br w:type="textWrapping"/>
            </w:r>
            <w:r>
              <w:rPr>
                <w:color w:val="auto"/>
                <w:kern w:val="0"/>
                <w:szCs w:val="21"/>
                <w:lang w:bidi="ar"/>
              </w:rPr>
              <w:t>19.具有自动智能关闭话筒功能，可设定发话者延时关闭寻呼时间；</w:t>
            </w:r>
            <w:r>
              <w:rPr>
                <w:color w:val="auto"/>
                <w:kern w:val="0"/>
                <w:szCs w:val="21"/>
                <w:lang w:bidi="ar"/>
              </w:rPr>
              <w:br w:type="textWrapping"/>
            </w:r>
            <w:r>
              <w:rPr>
                <w:color w:val="auto"/>
                <w:kern w:val="0"/>
                <w:szCs w:val="21"/>
                <w:lang w:bidi="ar"/>
              </w:rPr>
              <w:t>20.可手动打开、关闭寻呼话筒供电；</w:t>
            </w:r>
            <w:r>
              <w:rPr>
                <w:color w:val="auto"/>
                <w:kern w:val="0"/>
                <w:szCs w:val="21"/>
                <w:lang w:bidi="ar"/>
              </w:rPr>
              <w:br w:type="textWrapping"/>
            </w:r>
            <w:r>
              <w:rPr>
                <w:color w:val="auto"/>
                <w:kern w:val="0"/>
                <w:szCs w:val="21"/>
                <w:lang w:bidi="ar"/>
              </w:rPr>
              <w:t>21.具有智能屏保功能，可设置彩色显示屏屏保延时时间；</w:t>
            </w:r>
            <w:r>
              <w:rPr>
                <w:color w:val="auto"/>
                <w:kern w:val="0"/>
                <w:szCs w:val="21"/>
                <w:lang w:bidi="ar"/>
              </w:rPr>
              <w:br w:type="textWrapping"/>
            </w:r>
            <w:r>
              <w:rPr>
                <w:color w:val="auto"/>
                <w:kern w:val="0"/>
                <w:szCs w:val="21"/>
                <w:lang w:bidi="ar"/>
              </w:rPr>
              <w:t>22.可设定网络传输通讯模式。</w:t>
            </w:r>
          </w:p>
          <w:p>
            <w:pPr>
              <w:rPr>
                <w:bCs/>
                <w:color w:val="auto"/>
                <w:kern w:val="0"/>
                <w:szCs w:val="21"/>
              </w:rPr>
            </w:pPr>
            <w:r>
              <w:rPr>
                <w:color w:val="auto"/>
                <w:kern w:val="0"/>
                <w:szCs w:val="21"/>
                <w:lang w:bidi="ar"/>
              </w:rPr>
              <w:t>23. 为了保证系统的稳定性和兼容性，此设备与</w:t>
            </w:r>
            <w:r>
              <w:rPr>
                <w:rFonts w:hint="eastAsia"/>
                <w:color w:val="auto"/>
                <w:kern w:val="0"/>
                <w:szCs w:val="21"/>
                <w:lang w:eastAsia="zh-CN" w:bidi="ar"/>
              </w:rPr>
              <w:t>第</w:t>
            </w:r>
            <w:r>
              <w:rPr>
                <w:rFonts w:hint="eastAsia"/>
                <w:color w:val="auto"/>
                <w:kern w:val="0"/>
                <w:szCs w:val="21"/>
                <w:lang w:val="en-US" w:eastAsia="zh-CN" w:bidi="ar"/>
              </w:rPr>
              <w:t>27项</w:t>
            </w:r>
            <w:r>
              <w:rPr>
                <w:rFonts w:hint="eastAsia"/>
                <w:color w:val="auto"/>
                <w:kern w:val="0"/>
                <w:szCs w:val="21"/>
                <w:lang w:eastAsia="zh-CN" w:bidi="ar"/>
              </w:rPr>
              <w:t>“</w:t>
            </w:r>
            <w:r>
              <w:rPr>
                <w:color w:val="auto"/>
                <w:kern w:val="0"/>
                <w:szCs w:val="21"/>
              </w:rPr>
              <w:t>网络广播中心</w:t>
            </w:r>
            <w:r>
              <w:rPr>
                <w:rFonts w:hint="eastAsia"/>
                <w:color w:val="auto"/>
                <w:kern w:val="0"/>
                <w:szCs w:val="21"/>
                <w:lang w:eastAsia="zh-CN" w:bidi="ar"/>
              </w:rPr>
              <w:t>”</w:t>
            </w:r>
            <w:r>
              <w:rPr>
                <w:color w:val="auto"/>
                <w:kern w:val="0"/>
                <w:szCs w:val="21"/>
                <w:lang w:bidi="ar"/>
              </w:rPr>
              <w:t>同一品牌。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38</w:t>
            </w:r>
          </w:p>
        </w:tc>
        <w:tc>
          <w:tcPr>
            <w:tcW w:w="1134" w:type="dxa"/>
            <w:gridSpan w:val="2"/>
            <w:vAlign w:val="center"/>
          </w:tcPr>
          <w:p>
            <w:pPr>
              <w:widowControl/>
              <w:jc w:val="center"/>
              <w:rPr>
                <w:bCs/>
                <w:color w:val="auto"/>
                <w:kern w:val="0"/>
                <w:szCs w:val="21"/>
              </w:rPr>
            </w:pPr>
            <w:r>
              <w:rPr>
                <w:color w:val="auto"/>
                <w:kern w:val="0"/>
                <w:szCs w:val="21"/>
              </w:rPr>
              <w:t>播放器</w:t>
            </w:r>
          </w:p>
        </w:tc>
        <w:tc>
          <w:tcPr>
            <w:tcW w:w="567" w:type="dxa"/>
            <w:vAlign w:val="center"/>
          </w:tcPr>
          <w:p>
            <w:pPr>
              <w:widowControl/>
              <w:jc w:val="center"/>
              <w:rPr>
                <w:bCs/>
                <w:color w:val="auto"/>
                <w:kern w:val="0"/>
                <w:szCs w:val="21"/>
              </w:rPr>
            </w:pPr>
            <w:r>
              <w:rPr>
                <w:color w:val="auto"/>
                <w:kern w:val="0"/>
                <w:szCs w:val="21"/>
              </w:rPr>
              <w:t>1台</w:t>
            </w:r>
          </w:p>
        </w:tc>
        <w:tc>
          <w:tcPr>
            <w:tcW w:w="7512" w:type="dxa"/>
            <w:vAlign w:val="top"/>
          </w:tcPr>
          <w:p>
            <w:pPr>
              <w:rPr>
                <w:color w:val="auto"/>
                <w:kern w:val="0"/>
                <w:szCs w:val="21"/>
                <w:lang w:bidi="ar"/>
              </w:rPr>
            </w:pPr>
            <w:r>
              <w:rPr>
                <w:color w:val="auto"/>
                <w:kern w:val="0"/>
                <w:szCs w:val="21"/>
                <w:lang w:bidi="ar"/>
              </w:rPr>
              <w:t>1.约4.3寸TFT彩色液晶触摸式显示屏显示机器所有状态，并实现触摸屏操控。</w:t>
            </w:r>
            <w:r>
              <w:rPr>
                <w:color w:val="auto"/>
                <w:kern w:val="0"/>
                <w:szCs w:val="21"/>
                <w:lang w:bidi="ar"/>
              </w:rPr>
              <w:br w:type="textWrapping"/>
            </w:r>
            <w:r>
              <w:rPr>
                <w:color w:val="auto"/>
                <w:kern w:val="0"/>
                <w:szCs w:val="21"/>
                <w:lang w:bidi="ar"/>
              </w:rPr>
              <w:t>2.中/英文字幕两种语言显示可选择。</w:t>
            </w:r>
            <w:r>
              <w:rPr>
                <w:color w:val="auto"/>
                <w:kern w:val="0"/>
                <w:szCs w:val="21"/>
                <w:lang w:bidi="ar"/>
              </w:rPr>
              <w:br w:type="textWrapping"/>
            </w:r>
            <w:r>
              <w:rPr>
                <w:color w:val="auto"/>
                <w:kern w:val="0"/>
                <w:szCs w:val="21"/>
                <w:lang w:bidi="ar"/>
              </w:rPr>
              <w:t>3.可播放U盘、SD卡上的MP3音乐节目。</w:t>
            </w:r>
            <w:r>
              <w:rPr>
                <w:color w:val="auto"/>
                <w:kern w:val="0"/>
                <w:szCs w:val="21"/>
                <w:lang w:bidi="ar"/>
              </w:rPr>
              <w:br w:type="textWrapping"/>
            </w:r>
            <w:r>
              <w:rPr>
                <w:color w:val="auto"/>
                <w:kern w:val="0"/>
                <w:szCs w:val="21"/>
                <w:lang w:bidi="ar"/>
              </w:rPr>
              <w:t>4.可定时播放SD卡上的MP3音乐节目。</w:t>
            </w:r>
            <w:r>
              <w:rPr>
                <w:color w:val="auto"/>
                <w:kern w:val="0"/>
                <w:szCs w:val="21"/>
                <w:lang w:bidi="ar"/>
              </w:rPr>
              <w:br w:type="textWrapping"/>
            </w:r>
            <w:r>
              <w:rPr>
                <w:color w:val="auto"/>
                <w:kern w:val="0"/>
                <w:szCs w:val="21"/>
                <w:lang w:bidi="ar"/>
              </w:rPr>
              <w:t>5.可编辑8个定时方案按周循环，一个日方案最多可编辑100个定时点，具有定时点信息掉电记忆功能。</w:t>
            </w:r>
            <w:r>
              <w:rPr>
                <w:color w:val="auto"/>
                <w:kern w:val="0"/>
                <w:szCs w:val="21"/>
                <w:lang w:bidi="ar"/>
              </w:rPr>
              <w:br w:type="textWrapping"/>
            </w:r>
            <w:r>
              <w:rPr>
                <w:color w:val="auto"/>
                <w:kern w:val="0"/>
                <w:szCs w:val="21"/>
                <w:lang w:bidi="ar"/>
              </w:rPr>
              <w:t>6.可在电脑上编辑定时点，通过SD卡复制到本机执行。也可将本机上的定时点信息通过SD卡复制到电脑上进行备份储存。</w:t>
            </w:r>
            <w:r>
              <w:rPr>
                <w:color w:val="auto"/>
                <w:kern w:val="0"/>
                <w:szCs w:val="21"/>
                <w:lang w:bidi="ar"/>
              </w:rPr>
              <w:br w:type="textWrapping"/>
            </w:r>
            <w:r>
              <w:rPr>
                <w:color w:val="auto"/>
                <w:kern w:val="0"/>
                <w:szCs w:val="21"/>
                <w:lang w:bidi="ar"/>
              </w:rPr>
              <w:t>7.有一路AC220V 2000W电源输出插座，具有接受定时点定时控制其开关的功能。</w:t>
            </w:r>
            <w:r>
              <w:rPr>
                <w:color w:val="auto"/>
                <w:kern w:val="0"/>
                <w:szCs w:val="21"/>
                <w:lang w:bidi="ar"/>
              </w:rPr>
              <w:br w:type="textWrapping"/>
            </w:r>
            <w:r>
              <w:rPr>
                <w:color w:val="auto"/>
                <w:kern w:val="0"/>
                <w:szCs w:val="21"/>
                <w:lang w:bidi="ar"/>
              </w:rPr>
              <w:t>8.具有定时点到来前1-60秒（时间可以设置）内自动提前打开定时电源的功能。</w:t>
            </w:r>
            <w:r>
              <w:rPr>
                <w:color w:val="auto"/>
                <w:kern w:val="0"/>
                <w:szCs w:val="21"/>
                <w:lang w:bidi="ar"/>
              </w:rPr>
              <w:br w:type="textWrapping"/>
            </w:r>
            <w:r>
              <w:rPr>
                <w:color w:val="auto"/>
                <w:kern w:val="0"/>
                <w:szCs w:val="21"/>
                <w:lang w:bidi="ar"/>
              </w:rPr>
              <w:t>9.有一路短路信号输出接口与定时电源输出联动，一路音频信号输出接口（4个插座并联输出）。</w:t>
            </w:r>
            <w:r>
              <w:rPr>
                <w:color w:val="auto"/>
                <w:kern w:val="0"/>
                <w:szCs w:val="21"/>
                <w:lang w:bidi="ar"/>
              </w:rPr>
              <w:br w:type="textWrapping"/>
            </w:r>
            <w:r>
              <w:rPr>
                <w:color w:val="auto"/>
                <w:kern w:val="0"/>
                <w:szCs w:val="21"/>
                <w:lang w:bidi="ar"/>
              </w:rPr>
              <w:t>10.可连接耳机监听播放状态。</w:t>
            </w:r>
            <w:r>
              <w:rPr>
                <w:color w:val="auto"/>
                <w:kern w:val="0"/>
                <w:szCs w:val="21"/>
                <w:lang w:bidi="ar"/>
              </w:rPr>
              <w:br w:type="textWrapping"/>
            </w:r>
            <w:r>
              <w:rPr>
                <w:color w:val="auto"/>
                <w:kern w:val="0"/>
                <w:szCs w:val="21"/>
                <w:lang w:bidi="ar"/>
              </w:rPr>
              <w:t>11.输出LED电平指示。</w:t>
            </w:r>
            <w:r>
              <w:rPr>
                <w:color w:val="auto"/>
                <w:kern w:val="0"/>
                <w:szCs w:val="21"/>
                <w:lang w:bidi="ar"/>
              </w:rPr>
              <w:br w:type="textWrapping"/>
            </w:r>
            <w:r>
              <w:rPr>
                <w:color w:val="auto"/>
                <w:kern w:val="0"/>
                <w:szCs w:val="21"/>
                <w:lang w:bidi="ar"/>
              </w:rPr>
              <w:t>12.显示屏约 4.3寸；</w:t>
            </w:r>
            <w:r>
              <w:rPr>
                <w:color w:val="auto"/>
                <w:kern w:val="0"/>
                <w:szCs w:val="21"/>
                <w:lang w:bidi="ar"/>
              </w:rPr>
              <w:br w:type="textWrapping"/>
            </w:r>
            <w:r>
              <w:rPr>
                <w:color w:val="auto"/>
                <w:kern w:val="0"/>
                <w:szCs w:val="21"/>
                <w:lang w:bidi="ar"/>
              </w:rPr>
              <w:t>13.MP3输入灵敏度 230-280mV；</w:t>
            </w:r>
            <w:r>
              <w:rPr>
                <w:color w:val="auto"/>
                <w:kern w:val="0"/>
                <w:szCs w:val="21"/>
                <w:lang w:bidi="ar"/>
              </w:rPr>
              <w:br w:type="textWrapping"/>
            </w:r>
            <w:r>
              <w:rPr>
                <w:color w:val="auto"/>
                <w:kern w:val="0"/>
                <w:szCs w:val="21"/>
                <w:lang w:bidi="ar"/>
              </w:rPr>
              <w:t>14.线路输出 1000mV（±50mV）；</w:t>
            </w:r>
            <w:r>
              <w:rPr>
                <w:color w:val="auto"/>
                <w:kern w:val="0"/>
                <w:szCs w:val="21"/>
                <w:lang w:bidi="ar"/>
              </w:rPr>
              <w:br w:type="textWrapping"/>
            </w:r>
            <w:r>
              <w:rPr>
                <w:color w:val="auto"/>
                <w:kern w:val="0"/>
                <w:szCs w:val="21"/>
                <w:lang w:bidi="ar"/>
              </w:rPr>
              <w:t>15.耳机监听电平 1000mV（±50mV）；</w:t>
            </w:r>
            <w:r>
              <w:rPr>
                <w:color w:val="auto"/>
                <w:kern w:val="0"/>
                <w:szCs w:val="21"/>
                <w:lang w:bidi="ar"/>
              </w:rPr>
              <w:br w:type="textWrapping"/>
            </w:r>
            <w:r>
              <w:rPr>
                <w:color w:val="auto"/>
                <w:kern w:val="0"/>
                <w:szCs w:val="21"/>
                <w:lang w:bidi="ar"/>
              </w:rPr>
              <w:t>16.最大输出噪声电压 ≤0.5mV；</w:t>
            </w:r>
            <w:r>
              <w:rPr>
                <w:color w:val="auto"/>
                <w:kern w:val="0"/>
                <w:szCs w:val="21"/>
                <w:lang w:bidi="ar"/>
              </w:rPr>
              <w:br w:type="textWrapping"/>
            </w:r>
            <w:r>
              <w:rPr>
                <w:color w:val="auto"/>
                <w:kern w:val="0"/>
                <w:szCs w:val="21"/>
                <w:lang w:bidi="ar"/>
              </w:rPr>
              <w:t>17.定时电源插座 1只（220V/50HZ适时电网电压）；</w:t>
            </w:r>
            <w:r>
              <w:rPr>
                <w:color w:val="auto"/>
                <w:kern w:val="0"/>
                <w:szCs w:val="21"/>
                <w:lang w:bidi="ar"/>
              </w:rPr>
              <w:br w:type="textWrapping"/>
            </w:r>
            <w:r>
              <w:rPr>
                <w:color w:val="auto"/>
                <w:kern w:val="0"/>
                <w:szCs w:val="21"/>
                <w:lang w:bidi="ar"/>
              </w:rPr>
              <w:t>18.插座容量 220V，2000W；</w:t>
            </w:r>
            <w:r>
              <w:rPr>
                <w:color w:val="auto"/>
                <w:kern w:val="0"/>
                <w:szCs w:val="21"/>
                <w:lang w:bidi="ar"/>
              </w:rPr>
              <w:br w:type="textWrapping"/>
            </w:r>
            <w:r>
              <w:rPr>
                <w:color w:val="auto"/>
                <w:kern w:val="0"/>
                <w:szCs w:val="21"/>
                <w:lang w:bidi="ar"/>
              </w:rPr>
              <w:t>19.定时次数 周方案8个，日方案1个；</w:t>
            </w:r>
            <w:r>
              <w:rPr>
                <w:color w:val="auto"/>
                <w:kern w:val="0"/>
                <w:szCs w:val="21"/>
                <w:lang w:bidi="ar"/>
              </w:rPr>
              <w:br w:type="textWrapping"/>
            </w:r>
            <w:r>
              <w:rPr>
                <w:color w:val="auto"/>
                <w:kern w:val="0"/>
                <w:szCs w:val="21"/>
                <w:lang w:bidi="ar"/>
              </w:rPr>
              <w:t>20.时间制式 24小时制；</w:t>
            </w:r>
            <w:r>
              <w:rPr>
                <w:color w:val="auto"/>
                <w:kern w:val="0"/>
                <w:szCs w:val="21"/>
                <w:lang w:bidi="ar"/>
              </w:rPr>
              <w:br w:type="textWrapping"/>
            </w:r>
            <w:r>
              <w:rPr>
                <w:color w:val="auto"/>
                <w:kern w:val="0"/>
                <w:szCs w:val="21"/>
                <w:lang w:bidi="ar"/>
              </w:rPr>
              <w:t>21.保护 一只F1A交流保险管；</w:t>
            </w:r>
            <w:r>
              <w:rPr>
                <w:color w:val="auto"/>
                <w:kern w:val="0"/>
                <w:szCs w:val="21"/>
                <w:lang w:bidi="ar"/>
              </w:rPr>
              <w:br w:type="textWrapping"/>
            </w:r>
            <w:r>
              <w:rPr>
                <w:color w:val="auto"/>
                <w:kern w:val="0"/>
                <w:szCs w:val="21"/>
                <w:lang w:bidi="ar"/>
              </w:rPr>
              <w:t>22.工作电源 AC 220-240V/50-60Hz；</w:t>
            </w:r>
          </w:p>
          <w:p>
            <w:pPr>
              <w:rPr>
                <w:bCs/>
                <w:color w:val="auto"/>
                <w:kern w:val="0"/>
                <w:szCs w:val="21"/>
              </w:rPr>
            </w:pPr>
            <w:r>
              <w:rPr>
                <w:color w:val="auto"/>
                <w:kern w:val="0"/>
                <w:szCs w:val="21"/>
                <w:lang w:bidi="ar"/>
              </w:rPr>
              <w:t>23.为了保证系统的稳定性和兼容性，此设备与</w:t>
            </w:r>
            <w:r>
              <w:rPr>
                <w:rFonts w:hint="eastAsia"/>
                <w:color w:val="auto"/>
                <w:kern w:val="0"/>
                <w:szCs w:val="21"/>
                <w:lang w:eastAsia="zh-CN" w:bidi="ar"/>
              </w:rPr>
              <w:t>第</w:t>
            </w:r>
            <w:r>
              <w:rPr>
                <w:rFonts w:hint="eastAsia"/>
                <w:color w:val="auto"/>
                <w:kern w:val="0"/>
                <w:szCs w:val="21"/>
                <w:lang w:val="en-US" w:eastAsia="zh-CN" w:bidi="ar"/>
              </w:rPr>
              <w:t>27项</w:t>
            </w:r>
            <w:r>
              <w:rPr>
                <w:rFonts w:hint="eastAsia"/>
                <w:color w:val="auto"/>
                <w:kern w:val="0"/>
                <w:szCs w:val="21"/>
                <w:lang w:eastAsia="zh-CN" w:bidi="ar"/>
              </w:rPr>
              <w:t>“</w:t>
            </w:r>
            <w:r>
              <w:rPr>
                <w:color w:val="auto"/>
                <w:kern w:val="0"/>
                <w:szCs w:val="21"/>
              </w:rPr>
              <w:t>网络广播中心</w:t>
            </w:r>
            <w:r>
              <w:rPr>
                <w:rFonts w:hint="eastAsia"/>
                <w:color w:val="auto"/>
                <w:kern w:val="0"/>
                <w:szCs w:val="21"/>
                <w:lang w:eastAsia="zh-CN" w:bidi="ar"/>
              </w:rPr>
              <w:t>”</w:t>
            </w:r>
            <w:r>
              <w:rPr>
                <w:color w:val="auto"/>
                <w:kern w:val="0"/>
                <w:szCs w:val="21"/>
                <w:lang w:bidi="ar"/>
              </w:rPr>
              <w:t>同一品牌。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39</w:t>
            </w:r>
          </w:p>
        </w:tc>
        <w:tc>
          <w:tcPr>
            <w:tcW w:w="1134" w:type="dxa"/>
            <w:gridSpan w:val="2"/>
            <w:vAlign w:val="center"/>
          </w:tcPr>
          <w:p>
            <w:pPr>
              <w:widowControl/>
              <w:jc w:val="center"/>
              <w:rPr>
                <w:bCs/>
                <w:color w:val="auto"/>
                <w:kern w:val="0"/>
                <w:szCs w:val="21"/>
              </w:rPr>
            </w:pPr>
            <w:r>
              <w:rPr>
                <w:color w:val="auto"/>
                <w:kern w:val="0"/>
                <w:szCs w:val="21"/>
              </w:rPr>
              <w:t>前置放大器</w:t>
            </w:r>
          </w:p>
        </w:tc>
        <w:tc>
          <w:tcPr>
            <w:tcW w:w="567" w:type="dxa"/>
            <w:vAlign w:val="center"/>
          </w:tcPr>
          <w:p>
            <w:pPr>
              <w:widowControl/>
              <w:jc w:val="center"/>
              <w:rPr>
                <w:bCs/>
                <w:color w:val="auto"/>
                <w:kern w:val="0"/>
                <w:szCs w:val="21"/>
              </w:rPr>
            </w:pPr>
            <w:r>
              <w:rPr>
                <w:color w:val="auto"/>
                <w:kern w:val="0"/>
                <w:szCs w:val="21"/>
              </w:rPr>
              <w:t>1台</w:t>
            </w:r>
          </w:p>
        </w:tc>
        <w:tc>
          <w:tcPr>
            <w:tcW w:w="7512" w:type="dxa"/>
            <w:vAlign w:val="top"/>
          </w:tcPr>
          <w:p>
            <w:pPr>
              <w:rPr>
                <w:color w:val="auto"/>
                <w:kern w:val="0"/>
                <w:szCs w:val="21"/>
                <w:lang w:bidi="ar"/>
              </w:rPr>
            </w:pPr>
            <w:r>
              <w:rPr>
                <w:color w:val="auto"/>
                <w:kern w:val="0"/>
                <w:szCs w:val="21"/>
                <w:lang w:bidi="ar"/>
              </w:rPr>
              <w:t>1.多种、多个输入/输出口：5个话筒口；3个辅助口；2个优先口；4个输出口。</w:t>
            </w:r>
            <w:r>
              <w:rPr>
                <w:color w:val="auto"/>
                <w:kern w:val="0"/>
                <w:szCs w:val="21"/>
                <w:lang w:bidi="ar"/>
              </w:rPr>
              <w:br w:type="textWrapping"/>
            </w:r>
            <w:r>
              <w:rPr>
                <w:color w:val="auto"/>
                <w:kern w:val="0"/>
                <w:szCs w:val="21"/>
                <w:lang w:bidi="ar"/>
              </w:rPr>
              <w:t>2.各通道独立音量控制。</w:t>
            </w:r>
            <w:r>
              <w:rPr>
                <w:color w:val="auto"/>
                <w:kern w:val="0"/>
                <w:szCs w:val="21"/>
                <w:lang w:bidi="ar"/>
              </w:rPr>
              <w:br w:type="textWrapping"/>
            </w:r>
            <w:r>
              <w:rPr>
                <w:color w:val="auto"/>
                <w:kern w:val="0"/>
                <w:szCs w:val="21"/>
                <w:lang w:bidi="ar"/>
              </w:rPr>
              <w:t>3.高音和低音音调控制。</w:t>
            </w:r>
            <w:r>
              <w:rPr>
                <w:color w:val="auto"/>
                <w:kern w:val="0"/>
                <w:szCs w:val="21"/>
                <w:lang w:bidi="ar"/>
              </w:rPr>
              <w:br w:type="textWrapping"/>
            </w:r>
            <w:r>
              <w:rPr>
                <w:color w:val="auto"/>
                <w:kern w:val="0"/>
                <w:szCs w:val="21"/>
                <w:lang w:bidi="ar"/>
              </w:rPr>
              <w:t>4.自动默音（有强插功能）。</w:t>
            </w:r>
            <w:r>
              <w:rPr>
                <w:color w:val="auto"/>
                <w:kern w:val="0"/>
                <w:szCs w:val="21"/>
                <w:lang w:bidi="ar"/>
              </w:rPr>
              <w:br w:type="textWrapping"/>
            </w:r>
            <w:r>
              <w:rPr>
                <w:color w:val="auto"/>
                <w:kern w:val="0"/>
                <w:szCs w:val="21"/>
                <w:lang w:bidi="ar"/>
              </w:rPr>
              <w:t>5.性能规格：</w:t>
            </w:r>
            <w:r>
              <w:rPr>
                <w:color w:val="auto"/>
                <w:kern w:val="0"/>
                <w:szCs w:val="21"/>
                <w:lang w:bidi="ar"/>
              </w:rPr>
              <w:br w:type="textWrapping"/>
            </w:r>
            <w:r>
              <w:rPr>
                <w:color w:val="auto"/>
                <w:kern w:val="0"/>
                <w:szCs w:val="21"/>
                <w:lang w:bidi="ar"/>
              </w:rPr>
              <w:t>5.1.最小源电动势 Mic：≤3.2mV， 不平衡/Aux：≤300mV 不平衡/EMC：≤450mV；</w:t>
            </w:r>
            <w:r>
              <w:rPr>
                <w:color w:val="auto"/>
                <w:kern w:val="0"/>
                <w:szCs w:val="21"/>
                <w:lang w:bidi="ar"/>
              </w:rPr>
              <w:br w:type="textWrapping"/>
            </w:r>
            <w:r>
              <w:rPr>
                <w:color w:val="auto"/>
                <w:kern w:val="0"/>
                <w:szCs w:val="21"/>
                <w:lang w:bidi="ar"/>
              </w:rPr>
              <w:t>5.2.输出电平 0dBV；</w:t>
            </w:r>
            <w:r>
              <w:rPr>
                <w:color w:val="auto"/>
                <w:kern w:val="0"/>
                <w:szCs w:val="21"/>
                <w:lang w:bidi="ar"/>
              </w:rPr>
              <w:br w:type="textWrapping"/>
            </w:r>
            <w:r>
              <w:rPr>
                <w:color w:val="auto"/>
                <w:kern w:val="0"/>
                <w:szCs w:val="21"/>
                <w:lang w:bidi="ar"/>
              </w:rPr>
              <w:t xml:space="preserve">5.3.频率响应 Line：30Hz-20KHz （±3dB）； </w:t>
            </w:r>
            <w:r>
              <w:rPr>
                <w:color w:val="auto"/>
                <w:kern w:val="0"/>
                <w:szCs w:val="21"/>
                <w:lang w:bidi="ar"/>
              </w:rPr>
              <w:br w:type="textWrapping"/>
            </w:r>
            <w:r>
              <w:rPr>
                <w:color w:val="auto"/>
                <w:kern w:val="0"/>
                <w:szCs w:val="21"/>
                <w:lang w:bidi="ar"/>
              </w:rPr>
              <w:t>5.4.总谐波失真 Aux：≤0.1%（1KHz，额定正常工作条件）；</w:t>
            </w:r>
            <w:r>
              <w:rPr>
                <w:color w:val="auto"/>
                <w:kern w:val="0"/>
                <w:szCs w:val="21"/>
                <w:lang w:bidi="ar"/>
              </w:rPr>
              <w:br w:type="textWrapping"/>
            </w:r>
            <w:r>
              <w:rPr>
                <w:color w:val="auto"/>
                <w:kern w:val="0"/>
                <w:szCs w:val="21"/>
                <w:lang w:bidi="ar"/>
              </w:rPr>
              <w:t>5.5.信噪比 Aux input：≥66dB；</w:t>
            </w:r>
            <w:r>
              <w:rPr>
                <w:color w:val="auto"/>
                <w:kern w:val="0"/>
                <w:szCs w:val="21"/>
                <w:lang w:bidi="ar"/>
              </w:rPr>
              <w:br w:type="textWrapping"/>
            </w:r>
            <w:r>
              <w:rPr>
                <w:color w:val="auto"/>
                <w:kern w:val="0"/>
                <w:szCs w:val="21"/>
                <w:lang w:bidi="ar"/>
              </w:rPr>
              <w:t xml:space="preserve">5.6.音调调节范围 Bass：±10dB（100Hz）/Treble：±10dB（10kHz） ； </w:t>
            </w:r>
            <w:r>
              <w:rPr>
                <w:color w:val="auto"/>
                <w:kern w:val="0"/>
                <w:szCs w:val="21"/>
                <w:lang w:bidi="ar"/>
              </w:rPr>
              <w:br w:type="textWrapping"/>
            </w:r>
            <w:r>
              <w:rPr>
                <w:color w:val="auto"/>
                <w:kern w:val="0"/>
                <w:szCs w:val="21"/>
                <w:lang w:bidi="ar"/>
              </w:rPr>
              <w:t>5.7.保护 AC保险丝；</w:t>
            </w:r>
            <w:r>
              <w:rPr>
                <w:color w:val="auto"/>
                <w:kern w:val="0"/>
                <w:szCs w:val="21"/>
                <w:lang w:bidi="ar"/>
              </w:rPr>
              <w:br w:type="textWrapping"/>
            </w:r>
            <w:r>
              <w:rPr>
                <w:color w:val="auto"/>
                <w:kern w:val="0"/>
                <w:szCs w:val="21"/>
                <w:lang w:bidi="ar"/>
              </w:rPr>
              <w:t>5.8.电源 AC 220V/50Hz；</w:t>
            </w:r>
          </w:p>
          <w:p>
            <w:pPr>
              <w:rPr>
                <w:bCs/>
                <w:color w:val="auto"/>
                <w:kern w:val="0"/>
                <w:szCs w:val="21"/>
              </w:rPr>
            </w:pPr>
            <w:r>
              <w:rPr>
                <w:color w:val="auto"/>
                <w:szCs w:val="21"/>
              </w:rPr>
              <w:t>6.</w:t>
            </w:r>
            <w:r>
              <w:rPr>
                <w:color w:val="auto"/>
                <w:kern w:val="0"/>
                <w:szCs w:val="21"/>
                <w:lang w:bidi="ar"/>
              </w:rPr>
              <w:t xml:space="preserve"> 为了保证系统的稳定性和兼容性，此设备与</w:t>
            </w:r>
            <w:r>
              <w:rPr>
                <w:rFonts w:hint="eastAsia"/>
                <w:color w:val="auto"/>
                <w:kern w:val="0"/>
                <w:szCs w:val="21"/>
                <w:lang w:eastAsia="zh-CN" w:bidi="ar"/>
              </w:rPr>
              <w:t>第</w:t>
            </w:r>
            <w:r>
              <w:rPr>
                <w:rFonts w:hint="eastAsia"/>
                <w:color w:val="auto"/>
                <w:kern w:val="0"/>
                <w:szCs w:val="21"/>
                <w:lang w:val="en-US" w:eastAsia="zh-CN" w:bidi="ar"/>
              </w:rPr>
              <w:t>27项</w:t>
            </w:r>
            <w:r>
              <w:rPr>
                <w:rFonts w:hint="eastAsia"/>
                <w:color w:val="auto"/>
                <w:kern w:val="0"/>
                <w:szCs w:val="21"/>
                <w:lang w:eastAsia="zh-CN" w:bidi="ar"/>
              </w:rPr>
              <w:t>“</w:t>
            </w:r>
            <w:r>
              <w:rPr>
                <w:color w:val="auto"/>
                <w:kern w:val="0"/>
                <w:szCs w:val="21"/>
              </w:rPr>
              <w:t>网络广播中心</w:t>
            </w:r>
            <w:r>
              <w:rPr>
                <w:rFonts w:hint="eastAsia"/>
                <w:color w:val="auto"/>
                <w:kern w:val="0"/>
                <w:szCs w:val="21"/>
                <w:lang w:eastAsia="zh-CN" w:bidi="ar"/>
              </w:rPr>
              <w:t>”</w:t>
            </w:r>
            <w:r>
              <w:rPr>
                <w:color w:val="auto"/>
                <w:kern w:val="0"/>
                <w:szCs w:val="21"/>
                <w:lang w:bidi="ar"/>
              </w:rPr>
              <w:t>同一品牌。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40</w:t>
            </w:r>
          </w:p>
        </w:tc>
        <w:tc>
          <w:tcPr>
            <w:tcW w:w="1134" w:type="dxa"/>
            <w:gridSpan w:val="2"/>
            <w:vAlign w:val="center"/>
          </w:tcPr>
          <w:p>
            <w:pPr>
              <w:widowControl/>
              <w:jc w:val="center"/>
              <w:rPr>
                <w:bCs/>
                <w:color w:val="auto"/>
                <w:kern w:val="0"/>
                <w:szCs w:val="21"/>
              </w:rPr>
            </w:pPr>
            <w:r>
              <w:rPr>
                <w:color w:val="auto"/>
                <w:kern w:val="0"/>
                <w:szCs w:val="21"/>
              </w:rPr>
              <w:t>纯后级广播功放</w:t>
            </w:r>
          </w:p>
        </w:tc>
        <w:tc>
          <w:tcPr>
            <w:tcW w:w="567" w:type="dxa"/>
            <w:vAlign w:val="center"/>
          </w:tcPr>
          <w:p>
            <w:pPr>
              <w:widowControl/>
              <w:jc w:val="center"/>
              <w:rPr>
                <w:bCs/>
                <w:color w:val="auto"/>
                <w:kern w:val="0"/>
                <w:szCs w:val="21"/>
              </w:rPr>
            </w:pPr>
            <w:r>
              <w:rPr>
                <w:color w:val="auto"/>
                <w:kern w:val="0"/>
                <w:szCs w:val="21"/>
              </w:rPr>
              <w:t>4台</w:t>
            </w:r>
          </w:p>
        </w:tc>
        <w:tc>
          <w:tcPr>
            <w:tcW w:w="7512" w:type="dxa"/>
            <w:vAlign w:val="top"/>
          </w:tcPr>
          <w:p>
            <w:pPr>
              <w:rPr>
                <w:color w:val="auto"/>
                <w:kern w:val="0"/>
                <w:szCs w:val="21"/>
                <w:lang w:bidi="ar"/>
              </w:rPr>
            </w:pPr>
            <w:r>
              <w:rPr>
                <w:color w:val="auto"/>
                <w:kern w:val="0"/>
                <w:szCs w:val="21"/>
                <w:lang w:bidi="ar"/>
              </w:rPr>
              <w:t>1.200V、100V定压输出和P1输出（不接地）。</w:t>
            </w:r>
            <w:r>
              <w:rPr>
                <w:color w:val="auto"/>
                <w:kern w:val="0"/>
                <w:szCs w:val="21"/>
                <w:lang w:bidi="ar"/>
              </w:rPr>
              <w:br w:type="textWrapping"/>
            </w:r>
            <w:r>
              <w:rPr>
                <w:color w:val="auto"/>
                <w:kern w:val="0"/>
                <w:szCs w:val="21"/>
                <w:lang w:bidi="ar"/>
              </w:rPr>
              <w:t>2.5单位LED显示器，作状态显示。</w:t>
            </w:r>
            <w:r>
              <w:rPr>
                <w:color w:val="auto"/>
                <w:kern w:val="0"/>
                <w:szCs w:val="21"/>
                <w:lang w:bidi="ar"/>
              </w:rPr>
              <w:br w:type="textWrapping"/>
            </w:r>
            <w:r>
              <w:rPr>
                <w:color w:val="auto"/>
                <w:kern w:val="0"/>
                <w:szCs w:val="21"/>
                <w:lang w:bidi="ar"/>
              </w:rPr>
              <w:t>3.6.35mm插口和XLR插口供方便地实现环接。</w:t>
            </w:r>
            <w:r>
              <w:rPr>
                <w:color w:val="auto"/>
                <w:kern w:val="0"/>
                <w:szCs w:val="21"/>
                <w:lang w:bidi="ar"/>
              </w:rPr>
              <w:br w:type="textWrapping"/>
            </w:r>
            <w:r>
              <w:rPr>
                <w:color w:val="auto"/>
                <w:kern w:val="0"/>
                <w:szCs w:val="21"/>
                <w:lang w:bidi="ar"/>
              </w:rPr>
              <w:t>4.输出短路保护并示警。</w:t>
            </w:r>
            <w:r>
              <w:rPr>
                <w:color w:val="auto"/>
                <w:kern w:val="0"/>
                <w:szCs w:val="21"/>
                <w:lang w:bidi="ar"/>
              </w:rPr>
              <w:br w:type="textWrapping"/>
            </w:r>
            <w:r>
              <w:rPr>
                <w:color w:val="auto"/>
                <w:kern w:val="0"/>
                <w:szCs w:val="21"/>
                <w:lang w:bidi="ar"/>
              </w:rPr>
              <w:t>5.额定输出功率 2000W；</w:t>
            </w:r>
            <w:r>
              <w:rPr>
                <w:color w:val="auto"/>
                <w:kern w:val="0"/>
                <w:szCs w:val="21"/>
                <w:lang w:bidi="ar"/>
              </w:rPr>
              <w:br w:type="textWrapping"/>
            </w:r>
            <w:r>
              <w:rPr>
                <w:color w:val="auto"/>
                <w:kern w:val="0"/>
                <w:szCs w:val="21"/>
                <w:lang w:bidi="ar"/>
              </w:rPr>
              <w:t>6.最小源电动势 ≤1100mV；</w:t>
            </w:r>
            <w:r>
              <w:rPr>
                <w:color w:val="auto"/>
                <w:kern w:val="0"/>
                <w:szCs w:val="21"/>
                <w:lang w:bidi="ar"/>
              </w:rPr>
              <w:br w:type="textWrapping"/>
            </w:r>
            <w:r>
              <w:rPr>
                <w:color w:val="auto"/>
                <w:kern w:val="0"/>
                <w:szCs w:val="21"/>
                <w:lang w:bidi="ar"/>
              </w:rPr>
              <w:t>7.额定输出电压 P1，100V，200V；</w:t>
            </w:r>
            <w:r>
              <w:rPr>
                <w:color w:val="auto"/>
                <w:kern w:val="0"/>
                <w:szCs w:val="21"/>
                <w:lang w:bidi="ar"/>
              </w:rPr>
              <w:br w:type="textWrapping"/>
            </w:r>
            <w:r>
              <w:rPr>
                <w:color w:val="auto"/>
                <w:kern w:val="0"/>
                <w:szCs w:val="21"/>
                <w:lang w:bidi="ar"/>
              </w:rPr>
              <w:t>8.信噪比 ≥82dB；</w:t>
            </w:r>
            <w:r>
              <w:rPr>
                <w:color w:val="auto"/>
                <w:kern w:val="0"/>
                <w:szCs w:val="21"/>
                <w:lang w:bidi="ar"/>
              </w:rPr>
              <w:br w:type="textWrapping"/>
            </w:r>
            <w:r>
              <w:rPr>
                <w:color w:val="auto"/>
                <w:kern w:val="0"/>
                <w:szCs w:val="21"/>
                <w:lang w:bidi="ar"/>
              </w:rPr>
              <w:t>9.频率响应 80Hz-15KHz（±3dB）；</w:t>
            </w:r>
            <w:r>
              <w:rPr>
                <w:color w:val="auto"/>
                <w:kern w:val="0"/>
                <w:szCs w:val="21"/>
                <w:lang w:bidi="ar"/>
              </w:rPr>
              <w:br w:type="textWrapping"/>
            </w:r>
            <w:r>
              <w:rPr>
                <w:color w:val="auto"/>
                <w:kern w:val="0"/>
                <w:szCs w:val="21"/>
                <w:lang w:bidi="ar"/>
              </w:rPr>
              <w:t>10.总谐波失真 ≤1%（1KHz，正常工作条件）；</w:t>
            </w:r>
            <w:r>
              <w:rPr>
                <w:color w:val="auto"/>
                <w:kern w:val="0"/>
                <w:szCs w:val="21"/>
                <w:lang w:bidi="ar"/>
              </w:rPr>
              <w:br w:type="textWrapping"/>
            </w:r>
            <w:r>
              <w:rPr>
                <w:color w:val="auto"/>
                <w:kern w:val="0"/>
                <w:szCs w:val="21"/>
                <w:lang w:bidi="ar"/>
              </w:rPr>
              <w:t>11.指示灯 “电源”，“削顶”，“信号”，“保护”和“超温”；</w:t>
            </w:r>
            <w:r>
              <w:rPr>
                <w:color w:val="auto"/>
                <w:kern w:val="0"/>
                <w:szCs w:val="21"/>
                <w:lang w:bidi="ar"/>
              </w:rPr>
              <w:br w:type="textWrapping"/>
            </w:r>
            <w:r>
              <w:rPr>
                <w:color w:val="auto"/>
                <w:kern w:val="0"/>
                <w:szCs w:val="21"/>
                <w:lang w:bidi="ar"/>
              </w:rPr>
              <w:t>12.保护功能 高温，直流，短路；</w:t>
            </w:r>
            <w:r>
              <w:rPr>
                <w:color w:val="auto"/>
                <w:kern w:val="0"/>
                <w:szCs w:val="21"/>
                <w:lang w:bidi="ar"/>
              </w:rPr>
              <w:br w:type="textWrapping"/>
            </w:r>
            <w:r>
              <w:rPr>
                <w:color w:val="auto"/>
                <w:kern w:val="0"/>
                <w:szCs w:val="21"/>
                <w:lang w:bidi="ar"/>
              </w:rPr>
              <w:t>13.额定功耗 3500W；</w:t>
            </w:r>
            <w:r>
              <w:rPr>
                <w:color w:val="auto"/>
                <w:kern w:val="0"/>
                <w:szCs w:val="21"/>
                <w:lang w:bidi="ar"/>
              </w:rPr>
              <w:br w:type="textWrapping"/>
            </w:r>
            <w:r>
              <w:rPr>
                <w:color w:val="auto"/>
                <w:kern w:val="0"/>
                <w:szCs w:val="21"/>
                <w:lang w:bidi="ar"/>
              </w:rPr>
              <w:t>14.额定电源电压 AC220V/50Hz；</w:t>
            </w:r>
          </w:p>
          <w:p>
            <w:pPr>
              <w:rPr>
                <w:bCs/>
                <w:color w:val="auto"/>
                <w:kern w:val="0"/>
                <w:szCs w:val="21"/>
              </w:rPr>
            </w:pPr>
            <w:r>
              <w:rPr>
                <w:color w:val="auto"/>
                <w:kern w:val="0"/>
                <w:szCs w:val="21"/>
                <w:lang w:bidi="ar"/>
              </w:rPr>
              <w:t>15. 为了保证系统的稳定性和兼容性，此设备与</w:t>
            </w:r>
            <w:r>
              <w:rPr>
                <w:rFonts w:hint="eastAsia"/>
                <w:color w:val="auto"/>
                <w:kern w:val="0"/>
                <w:szCs w:val="21"/>
                <w:lang w:eastAsia="zh-CN" w:bidi="ar"/>
              </w:rPr>
              <w:t>第</w:t>
            </w:r>
            <w:r>
              <w:rPr>
                <w:rFonts w:hint="eastAsia"/>
                <w:color w:val="auto"/>
                <w:kern w:val="0"/>
                <w:szCs w:val="21"/>
                <w:lang w:val="en-US" w:eastAsia="zh-CN" w:bidi="ar"/>
              </w:rPr>
              <w:t>27项</w:t>
            </w:r>
            <w:r>
              <w:rPr>
                <w:rFonts w:hint="eastAsia"/>
                <w:color w:val="auto"/>
                <w:kern w:val="0"/>
                <w:szCs w:val="21"/>
                <w:lang w:eastAsia="zh-CN" w:bidi="ar"/>
              </w:rPr>
              <w:t>“</w:t>
            </w:r>
            <w:r>
              <w:rPr>
                <w:color w:val="auto"/>
                <w:kern w:val="0"/>
                <w:szCs w:val="21"/>
              </w:rPr>
              <w:t>网络广播中心</w:t>
            </w:r>
            <w:r>
              <w:rPr>
                <w:rFonts w:hint="eastAsia"/>
                <w:color w:val="auto"/>
                <w:kern w:val="0"/>
                <w:szCs w:val="21"/>
                <w:lang w:eastAsia="zh-CN" w:bidi="ar"/>
              </w:rPr>
              <w:t>”</w:t>
            </w:r>
            <w:r>
              <w:rPr>
                <w:color w:val="auto"/>
                <w:kern w:val="0"/>
                <w:szCs w:val="21"/>
                <w:lang w:bidi="ar"/>
              </w:rPr>
              <w:t>同一品牌。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41</w:t>
            </w:r>
          </w:p>
        </w:tc>
        <w:tc>
          <w:tcPr>
            <w:tcW w:w="1134" w:type="dxa"/>
            <w:gridSpan w:val="2"/>
            <w:vAlign w:val="center"/>
          </w:tcPr>
          <w:p>
            <w:pPr>
              <w:widowControl/>
              <w:jc w:val="center"/>
              <w:rPr>
                <w:bCs/>
                <w:color w:val="auto"/>
                <w:kern w:val="0"/>
                <w:szCs w:val="21"/>
              </w:rPr>
            </w:pPr>
            <w:r>
              <w:rPr>
                <w:color w:val="auto"/>
                <w:kern w:val="0"/>
                <w:szCs w:val="21"/>
              </w:rPr>
              <w:t>主/备功放自动切换器</w:t>
            </w:r>
          </w:p>
        </w:tc>
        <w:tc>
          <w:tcPr>
            <w:tcW w:w="567" w:type="dxa"/>
            <w:vAlign w:val="center"/>
          </w:tcPr>
          <w:p>
            <w:pPr>
              <w:widowControl/>
              <w:jc w:val="center"/>
              <w:rPr>
                <w:bCs/>
                <w:color w:val="auto"/>
                <w:kern w:val="0"/>
                <w:szCs w:val="21"/>
              </w:rPr>
            </w:pPr>
            <w:r>
              <w:rPr>
                <w:color w:val="auto"/>
                <w:kern w:val="0"/>
                <w:szCs w:val="21"/>
              </w:rPr>
              <w:t>1台</w:t>
            </w:r>
          </w:p>
        </w:tc>
        <w:tc>
          <w:tcPr>
            <w:tcW w:w="7512" w:type="dxa"/>
            <w:vAlign w:val="top"/>
          </w:tcPr>
          <w:p>
            <w:pPr>
              <w:numPr>
                <w:ilvl w:val="0"/>
                <w:numId w:val="2"/>
              </w:numPr>
              <w:rPr>
                <w:color w:val="auto"/>
                <w:kern w:val="0"/>
                <w:szCs w:val="21"/>
                <w:lang w:bidi="ar"/>
              </w:rPr>
            </w:pPr>
            <w:r>
              <w:rPr>
                <w:color w:val="auto"/>
                <w:kern w:val="0"/>
                <w:szCs w:val="21"/>
                <w:lang w:bidi="ar"/>
              </w:rPr>
              <w:t>能自动发现声频功放故障并在</w:t>
            </w:r>
            <w:r>
              <w:rPr>
                <w:rFonts w:hint="eastAsia"/>
                <w:color w:val="auto"/>
                <w:kern w:val="0"/>
                <w:szCs w:val="21"/>
                <w:lang w:bidi="ar"/>
              </w:rPr>
              <w:t>“</w:t>
            </w:r>
            <w:r>
              <w:rPr>
                <w:color w:val="auto"/>
                <w:kern w:val="0"/>
                <w:szCs w:val="21"/>
                <w:lang w:bidi="ar"/>
              </w:rPr>
              <w:t>主功放</w:t>
            </w:r>
            <w:r>
              <w:rPr>
                <w:rFonts w:hint="eastAsia"/>
                <w:color w:val="auto"/>
                <w:kern w:val="0"/>
                <w:szCs w:val="21"/>
                <w:lang w:bidi="ar"/>
              </w:rPr>
              <w:t>”</w:t>
            </w:r>
            <w:r>
              <w:rPr>
                <w:color w:val="auto"/>
                <w:kern w:val="0"/>
                <w:szCs w:val="21"/>
                <w:lang w:bidi="ar"/>
              </w:rPr>
              <w:t>和</w:t>
            </w:r>
            <w:r>
              <w:rPr>
                <w:rFonts w:hint="eastAsia"/>
                <w:color w:val="auto"/>
                <w:kern w:val="0"/>
                <w:szCs w:val="21"/>
                <w:lang w:bidi="ar"/>
              </w:rPr>
              <w:t>“</w:t>
            </w:r>
            <w:r>
              <w:rPr>
                <w:color w:val="auto"/>
                <w:kern w:val="0"/>
                <w:szCs w:val="21"/>
                <w:lang w:bidi="ar"/>
              </w:rPr>
              <w:t>备用功放</w:t>
            </w:r>
            <w:r>
              <w:rPr>
                <w:rFonts w:hint="eastAsia"/>
                <w:color w:val="auto"/>
                <w:kern w:val="0"/>
                <w:szCs w:val="21"/>
                <w:lang w:bidi="ar"/>
              </w:rPr>
              <w:t>”</w:t>
            </w:r>
            <w:r>
              <w:rPr>
                <w:color w:val="auto"/>
                <w:kern w:val="0"/>
                <w:szCs w:val="21"/>
                <w:lang w:bidi="ar"/>
              </w:rPr>
              <w:t>之间实现自动切换。</w:t>
            </w:r>
            <w:r>
              <w:rPr>
                <w:color w:val="auto"/>
                <w:kern w:val="0"/>
                <w:szCs w:val="21"/>
                <w:lang w:bidi="ar"/>
              </w:rPr>
              <w:br w:type="textWrapping"/>
            </w:r>
            <w:r>
              <w:rPr>
                <w:color w:val="auto"/>
                <w:kern w:val="0"/>
                <w:szCs w:val="21"/>
                <w:lang w:bidi="ar"/>
              </w:rPr>
              <w:t>2.具有4个完全相同的独立通道，每个通道均能完成主/备功放之自动检测与切换。</w:t>
            </w:r>
            <w:r>
              <w:rPr>
                <w:color w:val="auto"/>
                <w:kern w:val="0"/>
                <w:szCs w:val="21"/>
                <w:lang w:bidi="ar"/>
              </w:rPr>
              <w:br w:type="textWrapping"/>
            </w:r>
            <w:r>
              <w:rPr>
                <w:color w:val="auto"/>
                <w:kern w:val="0"/>
                <w:szCs w:val="21"/>
                <w:lang w:bidi="ar"/>
              </w:rPr>
              <w:t>3.兼有手动主/备切换之功能。</w:t>
            </w:r>
            <w:r>
              <w:rPr>
                <w:color w:val="auto"/>
                <w:kern w:val="0"/>
                <w:szCs w:val="21"/>
                <w:lang w:bidi="ar"/>
              </w:rPr>
              <w:br w:type="textWrapping"/>
            </w:r>
            <w:r>
              <w:rPr>
                <w:color w:val="auto"/>
                <w:kern w:val="0"/>
                <w:szCs w:val="21"/>
                <w:lang w:bidi="ar"/>
              </w:rPr>
              <w:t>4.工作状态指示</w:t>
            </w:r>
            <w:r>
              <w:rPr>
                <w:rFonts w:hint="eastAsia"/>
                <w:color w:val="auto"/>
                <w:kern w:val="0"/>
                <w:szCs w:val="21"/>
                <w:lang w:bidi="ar"/>
              </w:rPr>
              <w:t>明确</w:t>
            </w:r>
            <w:r>
              <w:rPr>
                <w:color w:val="auto"/>
                <w:kern w:val="0"/>
                <w:szCs w:val="21"/>
                <w:lang w:bidi="ar"/>
              </w:rPr>
              <w:t>。</w:t>
            </w:r>
            <w:r>
              <w:rPr>
                <w:color w:val="auto"/>
                <w:kern w:val="0"/>
                <w:szCs w:val="21"/>
                <w:lang w:bidi="ar"/>
              </w:rPr>
              <w:br w:type="textWrapping"/>
            </w:r>
            <w:r>
              <w:rPr>
                <w:color w:val="auto"/>
                <w:kern w:val="0"/>
                <w:szCs w:val="21"/>
                <w:lang w:bidi="ar"/>
              </w:rPr>
              <w:t>5.性能规格：</w:t>
            </w:r>
          </w:p>
          <w:p>
            <w:pPr>
              <w:rPr>
                <w:color w:val="auto"/>
                <w:kern w:val="0"/>
                <w:szCs w:val="21"/>
                <w:lang w:bidi="ar"/>
              </w:rPr>
            </w:pPr>
            <w:r>
              <w:rPr>
                <w:color w:val="auto"/>
                <w:kern w:val="0"/>
                <w:szCs w:val="21"/>
                <w:lang w:bidi="ar"/>
              </w:rPr>
              <w:t>5.1规格：MP4000；</w:t>
            </w:r>
          </w:p>
          <w:p>
            <w:pPr>
              <w:rPr>
                <w:color w:val="auto"/>
                <w:kern w:val="0"/>
                <w:szCs w:val="21"/>
                <w:lang w:bidi="ar"/>
              </w:rPr>
            </w:pPr>
            <w:r>
              <w:rPr>
                <w:color w:val="auto"/>
                <w:kern w:val="0"/>
                <w:szCs w:val="21"/>
                <w:lang w:bidi="ar"/>
              </w:rPr>
              <w:t>5.2信噪比 ≥82dB；</w:t>
            </w:r>
          </w:p>
          <w:p>
            <w:pPr>
              <w:rPr>
                <w:bCs/>
                <w:color w:val="auto"/>
                <w:kern w:val="0"/>
                <w:szCs w:val="21"/>
              </w:rPr>
            </w:pPr>
            <w:r>
              <w:rPr>
                <w:color w:val="auto"/>
                <w:kern w:val="0"/>
                <w:szCs w:val="21"/>
                <w:lang w:bidi="ar"/>
              </w:rPr>
              <w:t>5.3频率响应 80Hz-15KHz（±3dB）。</w:t>
            </w:r>
            <w:r>
              <w:rPr>
                <w:color w:val="auto"/>
                <w:kern w:val="0"/>
                <w:szCs w:val="21"/>
                <w:lang w:bidi="ar"/>
              </w:rPr>
              <w:br w:type="textWrapping"/>
            </w:r>
            <w:r>
              <w:rPr>
                <w:color w:val="auto"/>
                <w:kern w:val="0"/>
                <w:szCs w:val="21"/>
                <w:lang w:bidi="ar"/>
              </w:rPr>
              <w:t>6.可控通道组数：4组。</w:t>
            </w:r>
            <w:r>
              <w:rPr>
                <w:color w:val="auto"/>
                <w:kern w:val="0"/>
                <w:szCs w:val="21"/>
                <w:lang w:bidi="ar"/>
              </w:rPr>
              <w:br w:type="textWrapping"/>
            </w:r>
            <w:r>
              <w:rPr>
                <w:color w:val="auto"/>
                <w:kern w:val="0"/>
                <w:szCs w:val="21"/>
                <w:lang w:bidi="ar"/>
              </w:rPr>
              <w:t>7.工作组态 （4主4备）或（4主1备）。</w:t>
            </w:r>
            <w:r>
              <w:rPr>
                <w:color w:val="auto"/>
                <w:kern w:val="0"/>
                <w:szCs w:val="21"/>
                <w:lang w:bidi="ar"/>
              </w:rPr>
              <w:br w:type="textWrapping"/>
            </w:r>
            <w:r>
              <w:rPr>
                <w:color w:val="auto"/>
                <w:kern w:val="0"/>
                <w:szCs w:val="21"/>
                <w:lang w:bidi="ar"/>
              </w:rPr>
              <w:t>8.通道工作容量 100V/10A（音频信号）。</w:t>
            </w:r>
            <w:r>
              <w:rPr>
                <w:color w:val="auto"/>
                <w:kern w:val="0"/>
                <w:szCs w:val="21"/>
                <w:lang w:bidi="ar"/>
              </w:rPr>
              <w:br w:type="textWrapping"/>
            </w:r>
            <w:r>
              <w:rPr>
                <w:color w:val="auto"/>
                <w:kern w:val="0"/>
                <w:szCs w:val="21"/>
                <w:lang w:bidi="ar"/>
              </w:rPr>
              <w:t>9.功放增益要求 &gt;20dB。</w:t>
            </w:r>
            <w:r>
              <w:rPr>
                <w:color w:val="auto"/>
                <w:kern w:val="0"/>
                <w:szCs w:val="21"/>
                <w:lang w:bidi="ar"/>
              </w:rPr>
              <w:br w:type="textWrapping"/>
            </w:r>
            <w:r>
              <w:rPr>
                <w:color w:val="auto"/>
                <w:kern w:val="0"/>
                <w:szCs w:val="21"/>
                <w:lang w:bidi="ar"/>
              </w:rPr>
              <w:t>10.输入检测电压阀值 &lt;500mV。</w:t>
            </w:r>
            <w:r>
              <w:rPr>
                <w:color w:val="auto"/>
                <w:kern w:val="0"/>
                <w:szCs w:val="21"/>
                <w:lang w:bidi="ar"/>
              </w:rPr>
              <w:br w:type="textWrapping"/>
            </w:r>
            <w:r>
              <w:rPr>
                <w:color w:val="auto"/>
                <w:kern w:val="0"/>
                <w:szCs w:val="21"/>
                <w:lang w:bidi="ar"/>
              </w:rPr>
              <w:t>11.30k检测信号输出电压 20mV-50mV。</w:t>
            </w:r>
            <w:r>
              <w:rPr>
                <w:color w:val="auto"/>
                <w:kern w:val="0"/>
                <w:szCs w:val="21"/>
                <w:lang w:bidi="ar"/>
              </w:rPr>
              <w:br w:type="textWrapping"/>
            </w:r>
            <w:r>
              <w:rPr>
                <w:color w:val="auto"/>
                <w:kern w:val="0"/>
                <w:szCs w:val="21"/>
                <w:lang w:bidi="ar"/>
              </w:rPr>
              <w:t>12.故障切换时间 200ms。</w:t>
            </w:r>
            <w:r>
              <w:rPr>
                <w:color w:val="auto"/>
                <w:kern w:val="0"/>
                <w:szCs w:val="21"/>
                <w:lang w:bidi="ar"/>
              </w:rPr>
              <w:br w:type="textWrapping"/>
            </w:r>
            <w:r>
              <w:rPr>
                <w:color w:val="auto"/>
                <w:kern w:val="0"/>
                <w:szCs w:val="21"/>
                <w:lang w:bidi="ar"/>
              </w:rPr>
              <w:t>13.通道检测时间 40ms。</w:t>
            </w:r>
            <w:r>
              <w:rPr>
                <w:color w:val="auto"/>
                <w:kern w:val="0"/>
                <w:szCs w:val="21"/>
                <w:lang w:bidi="ar"/>
              </w:rPr>
              <w:br w:type="textWrapping"/>
            </w:r>
            <w:r>
              <w:rPr>
                <w:color w:val="auto"/>
                <w:kern w:val="0"/>
                <w:szCs w:val="21"/>
                <w:lang w:bidi="ar"/>
              </w:rPr>
              <w:t>14.保护 AC 保险丝。</w:t>
            </w:r>
            <w:r>
              <w:rPr>
                <w:color w:val="auto"/>
                <w:kern w:val="0"/>
                <w:szCs w:val="21"/>
                <w:lang w:bidi="ar"/>
              </w:rPr>
              <w:br w:type="textWrapping"/>
            </w:r>
            <w:r>
              <w:rPr>
                <w:color w:val="auto"/>
                <w:kern w:val="0"/>
                <w:szCs w:val="21"/>
                <w:lang w:bidi="ar"/>
              </w:rPr>
              <w:t>15.电源 AC 220V/50Hz。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42</w:t>
            </w:r>
          </w:p>
        </w:tc>
        <w:tc>
          <w:tcPr>
            <w:tcW w:w="1134" w:type="dxa"/>
            <w:gridSpan w:val="2"/>
            <w:vAlign w:val="center"/>
          </w:tcPr>
          <w:p>
            <w:pPr>
              <w:widowControl/>
              <w:jc w:val="center"/>
              <w:rPr>
                <w:bCs/>
                <w:color w:val="auto"/>
                <w:kern w:val="0"/>
                <w:szCs w:val="21"/>
              </w:rPr>
            </w:pPr>
            <w:r>
              <w:rPr>
                <w:color w:val="auto"/>
                <w:kern w:val="0"/>
                <w:szCs w:val="21"/>
              </w:rPr>
              <w:t>室内单红显示屏</w:t>
            </w:r>
          </w:p>
        </w:tc>
        <w:tc>
          <w:tcPr>
            <w:tcW w:w="567" w:type="dxa"/>
            <w:vAlign w:val="center"/>
          </w:tcPr>
          <w:p>
            <w:pPr>
              <w:widowControl/>
              <w:jc w:val="center"/>
              <w:rPr>
                <w:bCs/>
                <w:color w:val="auto"/>
                <w:kern w:val="0"/>
                <w:szCs w:val="21"/>
              </w:rPr>
            </w:pPr>
            <w:r>
              <w:rPr>
                <w:color w:val="auto"/>
                <w:kern w:val="0"/>
                <w:szCs w:val="21"/>
              </w:rPr>
              <w:t>118个</w:t>
            </w:r>
          </w:p>
        </w:tc>
        <w:tc>
          <w:tcPr>
            <w:tcW w:w="7512" w:type="dxa"/>
            <w:vAlign w:val="top"/>
          </w:tcPr>
          <w:p>
            <w:pPr>
              <w:rPr>
                <w:color w:val="auto"/>
                <w:szCs w:val="21"/>
              </w:rPr>
            </w:pPr>
            <w:r>
              <w:rPr>
                <w:color w:val="auto"/>
                <w:szCs w:val="21"/>
              </w:rPr>
              <w:t>1.显示面积（长×宽）：约488mm×244mm；</w:t>
            </w:r>
          </w:p>
          <w:p>
            <w:pPr>
              <w:rPr>
                <w:color w:val="auto"/>
                <w:szCs w:val="21"/>
              </w:rPr>
            </w:pPr>
            <w:r>
              <w:rPr>
                <w:color w:val="auto"/>
                <w:szCs w:val="21"/>
              </w:rPr>
              <w:t>2.分辨率：64点×32点；</w:t>
            </w:r>
          </w:p>
          <w:p>
            <w:pPr>
              <w:rPr>
                <w:color w:val="auto"/>
                <w:szCs w:val="21"/>
              </w:rPr>
            </w:pPr>
            <w:r>
              <w:rPr>
                <w:color w:val="auto"/>
                <w:szCs w:val="21"/>
              </w:rPr>
              <w:t>3.工作电压： AC220V±15％，65Hz；</w:t>
            </w:r>
          </w:p>
          <w:p>
            <w:pPr>
              <w:rPr>
                <w:color w:val="auto"/>
                <w:szCs w:val="21"/>
              </w:rPr>
            </w:pPr>
            <w:r>
              <w:rPr>
                <w:color w:val="auto"/>
                <w:szCs w:val="21"/>
              </w:rPr>
              <w:t>4.播放内容：文字数字，简单图像，倒计时等；</w:t>
            </w:r>
          </w:p>
          <w:p>
            <w:pPr>
              <w:rPr>
                <w:bCs/>
                <w:color w:val="auto"/>
                <w:kern w:val="0"/>
                <w:szCs w:val="21"/>
              </w:rPr>
            </w:pPr>
            <w:r>
              <w:rPr>
                <w:color w:val="auto"/>
                <w:szCs w:val="21"/>
              </w:rPr>
              <w:t>5.控制方式：与计算机异步，局域网内集群控制。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43</w:t>
            </w:r>
          </w:p>
        </w:tc>
        <w:tc>
          <w:tcPr>
            <w:tcW w:w="1134" w:type="dxa"/>
            <w:gridSpan w:val="2"/>
            <w:vAlign w:val="center"/>
          </w:tcPr>
          <w:p>
            <w:pPr>
              <w:widowControl/>
              <w:jc w:val="center"/>
              <w:rPr>
                <w:color w:val="auto"/>
                <w:kern w:val="0"/>
                <w:szCs w:val="21"/>
              </w:rPr>
            </w:pPr>
            <w:r>
              <w:rPr>
                <w:color w:val="auto"/>
                <w:kern w:val="0"/>
                <w:szCs w:val="21"/>
              </w:rPr>
              <w:t>网络化</w:t>
            </w:r>
          </w:p>
          <w:p>
            <w:pPr>
              <w:widowControl/>
              <w:jc w:val="center"/>
              <w:rPr>
                <w:bCs/>
                <w:color w:val="auto"/>
                <w:kern w:val="0"/>
                <w:szCs w:val="21"/>
              </w:rPr>
            </w:pPr>
            <w:r>
              <w:rPr>
                <w:color w:val="auto"/>
                <w:kern w:val="0"/>
                <w:szCs w:val="21"/>
              </w:rPr>
              <w:t>室内音箱</w:t>
            </w:r>
          </w:p>
        </w:tc>
        <w:tc>
          <w:tcPr>
            <w:tcW w:w="567" w:type="dxa"/>
            <w:vAlign w:val="center"/>
          </w:tcPr>
          <w:p>
            <w:pPr>
              <w:widowControl/>
              <w:jc w:val="center"/>
              <w:rPr>
                <w:bCs/>
                <w:color w:val="auto"/>
                <w:kern w:val="0"/>
                <w:szCs w:val="21"/>
              </w:rPr>
            </w:pPr>
            <w:r>
              <w:rPr>
                <w:color w:val="auto"/>
                <w:kern w:val="0"/>
                <w:szCs w:val="21"/>
              </w:rPr>
              <w:t>12</w:t>
            </w:r>
            <w:r>
              <w:rPr>
                <w:rFonts w:hint="eastAsia"/>
                <w:color w:val="auto"/>
                <w:kern w:val="0"/>
                <w:szCs w:val="21"/>
              </w:rPr>
              <w:t>8</w:t>
            </w:r>
            <w:r>
              <w:rPr>
                <w:color w:val="auto"/>
                <w:kern w:val="0"/>
                <w:szCs w:val="21"/>
              </w:rPr>
              <w:t>只</w:t>
            </w:r>
          </w:p>
        </w:tc>
        <w:tc>
          <w:tcPr>
            <w:tcW w:w="7512" w:type="dxa"/>
            <w:vAlign w:val="top"/>
          </w:tcPr>
          <w:p>
            <w:pPr>
              <w:numPr>
                <w:ilvl w:val="0"/>
                <w:numId w:val="3"/>
              </w:numPr>
              <w:rPr>
                <w:color w:val="auto"/>
                <w:kern w:val="0"/>
                <w:szCs w:val="21"/>
                <w:lang w:bidi="ar"/>
              </w:rPr>
            </w:pPr>
            <w:r>
              <w:rPr>
                <w:color w:val="auto"/>
                <w:kern w:val="0"/>
                <w:szCs w:val="21"/>
                <w:lang w:bidi="ar"/>
              </w:rPr>
              <w:t>网络化终端处理器结合高保真扬声器整体化设计的网络化音箱。</w:t>
            </w:r>
            <w:r>
              <w:rPr>
                <w:color w:val="auto"/>
                <w:kern w:val="0"/>
                <w:szCs w:val="21"/>
                <w:lang w:bidi="ar"/>
              </w:rPr>
              <w:br w:type="textWrapping"/>
            </w:r>
            <w:r>
              <w:rPr>
                <w:color w:val="auto"/>
                <w:kern w:val="0"/>
                <w:szCs w:val="21"/>
                <w:lang w:bidi="ar"/>
              </w:rPr>
              <w:t>2.音箱接口要求：</w:t>
            </w:r>
          </w:p>
          <w:p>
            <w:pPr>
              <w:rPr>
                <w:color w:val="auto"/>
                <w:kern w:val="0"/>
                <w:szCs w:val="21"/>
                <w:lang w:bidi="ar"/>
              </w:rPr>
            </w:pPr>
            <w:r>
              <w:rPr>
                <w:rFonts w:hint="eastAsia" w:eastAsia="黑体"/>
                <w:b/>
                <w:color w:val="auto"/>
                <w:sz w:val="24"/>
                <w:szCs w:val="21"/>
              </w:rPr>
              <w:t>＃</w:t>
            </w:r>
            <w:r>
              <w:rPr>
                <w:color w:val="auto"/>
                <w:kern w:val="0"/>
                <w:szCs w:val="21"/>
                <w:lang w:bidi="ar"/>
              </w:rPr>
              <w:t>2.1双网络接口冗余设计，可跨网段工作，</w:t>
            </w:r>
            <w:r>
              <w:rPr>
                <w:color w:val="auto"/>
              </w:rPr>
              <w:t>提供相关证明材料</w:t>
            </w:r>
            <w:r>
              <w:rPr>
                <w:rFonts w:hint="eastAsia"/>
                <w:color w:val="auto"/>
              </w:rPr>
              <w:t>提供产品面板实物彩色图片标示此功能要求并加盖投标单位公章</w:t>
            </w:r>
            <w:r>
              <w:rPr>
                <w:color w:val="auto"/>
                <w:kern w:val="0"/>
                <w:szCs w:val="21"/>
                <w:lang w:bidi="ar"/>
              </w:rPr>
              <w:t>；</w:t>
            </w:r>
          </w:p>
          <w:p>
            <w:pPr>
              <w:rPr>
                <w:color w:val="auto"/>
                <w:kern w:val="0"/>
                <w:szCs w:val="21"/>
                <w:lang w:bidi="ar"/>
              </w:rPr>
            </w:pPr>
            <w:r>
              <w:rPr>
                <w:rFonts w:hint="eastAsia" w:eastAsia="黑体"/>
                <w:b/>
                <w:color w:val="auto"/>
                <w:sz w:val="24"/>
                <w:szCs w:val="21"/>
              </w:rPr>
              <w:t>＃</w:t>
            </w:r>
            <w:r>
              <w:rPr>
                <w:color w:val="auto"/>
                <w:kern w:val="0"/>
                <w:szCs w:val="21"/>
                <w:lang w:bidi="ar"/>
              </w:rPr>
              <w:t>2.2.具有一路辅助音频输入口，一路辅助音频输出口，一路话筒输入和一路EMC紧急输出口，1路短路输出（同时控制100V音频输入与本机音频信号的切换），</w:t>
            </w:r>
            <w:r>
              <w:rPr>
                <w:color w:val="auto"/>
              </w:rPr>
              <w:t>提供相关证明材料</w:t>
            </w:r>
            <w:r>
              <w:rPr>
                <w:rFonts w:hint="eastAsia"/>
                <w:color w:val="auto"/>
              </w:rPr>
              <w:t>提供产品面板实物彩色图片标示此功能要求并加盖投标单位公章</w:t>
            </w:r>
            <w:r>
              <w:rPr>
                <w:color w:val="auto"/>
                <w:kern w:val="0"/>
                <w:szCs w:val="21"/>
                <w:lang w:bidi="ar"/>
              </w:rPr>
              <w:t>；</w:t>
            </w:r>
          </w:p>
          <w:p>
            <w:pPr>
              <w:rPr>
                <w:color w:val="auto"/>
                <w:kern w:val="0"/>
                <w:szCs w:val="21"/>
                <w:lang w:bidi="ar"/>
              </w:rPr>
            </w:pPr>
            <w:r>
              <w:rPr>
                <w:color w:val="auto"/>
                <w:kern w:val="0"/>
                <w:szCs w:val="21"/>
                <w:lang w:bidi="ar"/>
              </w:rPr>
              <w:t>3.可挂接在</w:t>
            </w:r>
            <w:r>
              <w:rPr>
                <w:rFonts w:hint="eastAsia"/>
                <w:color w:val="auto"/>
                <w:kern w:val="0"/>
                <w:szCs w:val="21"/>
                <w:lang w:bidi="ar"/>
              </w:rPr>
              <w:t>校园网</w:t>
            </w:r>
            <w:r>
              <w:rPr>
                <w:color w:val="auto"/>
                <w:kern w:val="0"/>
                <w:szCs w:val="21"/>
                <w:lang w:bidi="ar"/>
              </w:rPr>
              <w:t>到达的地方；</w:t>
            </w:r>
            <w:r>
              <w:rPr>
                <w:color w:val="auto"/>
                <w:kern w:val="0"/>
                <w:szCs w:val="21"/>
                <w:lang w:bidi="ar"/>
              </w:rPr>
              <w:br w:type="textWrapping"/>
            </w:r>
            <w:r>
              <w:rPr>
                <w:color w:val="auto"/>
                <w:kern w:val="0"/>
                <w:szCs w:val="21"/>
                <w:lang w:bidi="ar"/>
              </w:rPr>
              <w:t>4.具有MP3解码播放功能；</w:t>
            </w:r>
            <w:r>
              <w:rPr>
                <w:color w:val="auto"/>
                <w:kern w:val="0"/>
                <w:szCs w:val="21"/>
                <w:lang w:bidi="ar"/>
              </w:rPr>
              <w:br w:type="textWrapping"/>
            </w:r>
            <w:r>
              <w:rPr>
                <w:color w:val="auto"/>
                <w:kern w:val="0"/>
                <w:szCs w:val="21"/>
                <w:lang w:bidi="ar"/>
              </w:rPr>
              <w:t>5.支持最大48kHz采样率16bit数字音频码流解码；</w:t>
            </w:r>
            <w:r>
              <w:rPr>
                <w:color w:val="auto"/>
                <w:kern w:val="0"/>
                <w:szCs w:val="21"/>
                <w:lang w:bidi="ar"/>
              </w:rPr>
              <w:br w:type="textWrapping"/>
            </w:r>
            <w:r>
              <w:rPr>
                <w:color w:val="auto"/>
                <w:kern w:val="0"/>
                <w:szCs w:val="21"/>
                <w:lang w:bidi="ar"/>
              </w:rPr>
              <w:t>6.内置2×10W数字功放，低功耗设置；</w:t>
            </w:r>
            <w:r>
              <w:rPr>
                <w:color w:val="auto"/>
                <w:kern w:val="0"/>
                <w:szCs w:val="21"/>
                <w:lang w:bidi="ar"/>
              </w:rPr>
              <w:br w:type="textWrapping"/>
            </w:r>
            <w:r>
              <w:rPr>
                <w:color w:val="auto"/>
                <w:kern w:val="0"/>
                <w:szCs w:val="21"/>
                <w:lang w:bidi="ar"/>
              </w:rPr>
              <w:t>7.可播放来自系统主机的背景音乐、紧急寻呼、告警信号等；</w:t>
            </w:r>
            <w:r>
              <w:rPr>
                <w:color w:val="auto"/>
                <w:kern w:val="0"/>
                <w:szCs w:val="21"/>
                <w:lang w:bidi="ar"/>
              </w:rPr>
              <w:br w:type="textWrapping"/>
            </w:r>
            <w:r>
              <w:rPr>
                <w:color w:val="auto"/>
                <w:kern w:val="0"/>
                <w:szCs w:val="21"/>
                <w:lang w:bidi="ar"/>
              </w:rPr>
              <w:t>8.本地输出音量及本地播放状态可控；</w:t>
            </w:r>
            <w:r>
              <w:rPr>
                <w:color w:val="auto"/>
                <w:kern w:val="0"/>
                <w:szCs w:val="21"/>
                <w:lang w:bidi="ar"/>
              </w:rPr>
              <w:br w:type="textWrapping"/>
            </w:r>
            <w:r>
              <w:rPr>
                <w:color w:val="auto"/>
                <w:kern w:val="0"/>
                <w:szCs w:val="21"/>
                <w:lang w:bidi="ar"/>
              </w:rPr>
              <w:t>9.工作状态及信息变化数码显示；</w:t>
            </w:r>
            <w:r>
              <w:rPr>
                <w:color w:val="auto"/>
                <w:kern w:val="0"/>
                <w:szCs w:val="21"/>
                <w:lang w:bidi="ar"/>
              </w:rPr>
              <w:br w:type="textWrapping"/>
            </w:r>
            <w:r>
              <w:rPr>
                <w:color w:val="auto"/>
                <w:kern w:val="0"/>
                <w:szCs w:val="21"/>
                <w:lang w:bidi="ar"/>
              </w:rPr>
              <w:t>10.可接受红外线遥控器的操控；</w:t>
            </w:r>
          </w:p>
          <w:p>
            <w:pPr>
              <w:rPr>
                <w:bCs/>
                <w:color w:val="auto"/>
                <w:kern w:val="0"/>
                <w:szCs w:val="21"/>
              </w:rPr>
            </w:pPr>
            <w:r>
              <w:rPr>
                <w:color w:val="auto"/>
                <w:kern w:val="0"/>
                <w:szCs w:val="21"/>
                <w:lang w:bidi="ar"/>
              </w:rPr>
              <w:t>11.为了保证系统的稳定性和兼容性，此设备与</w:t>
            </w:r>
            <w:r>
              <w:rPr>
                <w:rFonts w:hint="eastAsia"/>
                <w:color w:val="auto"/>
                <w:kern w:val="0"/>
                <w:szCs w:val="21"/>
                <w:lang w:eastAsia="zh-CN" w:bidi="ar"/>
              </w:rPr>
              <w:t>第</w:t>
            </w:r>
            <w:r>
              <w:rPr>
                <w:rFonts w:hint="eastAsia"/>
                <w:color w:val="auto"/>
                <w:kern w:val="0"/>
                <w:szCs w:val="21"/>
                <w:lang w:val="en-US" w:eastAsia="zh-CN" w:bidi="ar"/>
              </w:rPr>
              <w:t>27项</w:t>
            </w:r>
            <w:r>
              <w:rPr>
                <w:rFonts w:hint="eastAsia"/>
                <w:color w:val="auto"/>
                <w:kern w:val="0"/>
                <w:szCs w:val="21"/>
                <w:lang w:eastAsia="zh-CN" w:bidi="ar"/>
              </w:rPr>
              <w:t>“</w:t>
            </w:r>
            <w:r>
              <w:rPr>
                <w:color w:val="auto"/>
                <w:kern w:val="0"/>
                <w:szCs w:val="21"/>
              </w:rPr>
              <w:t>网络广播中心</w:t>
            </w:r>
            <w:r>
              <w:rPr>
                <w:rFonts w:hint="eastAsia"/>
                <w:color w:val="auto"/>
                <w:kern w:val="0"/>
                <w:szCs w:val="21"/>
                <w:lang w:eastAsia="zh-CN" w:bidi="ar"/>
              </w:rPr>
              <w:t>”</w:t>
            </w:r>
            <w:r>
              <w:rPr>
                <w:color w:val="auto"/>
                <w:kern w:val="0"/>
                <w:szCs w:val="21"/>
                <w:lang w:bidi="ar"/>
              </w:rPr>
              <w:t>同一品牌。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44</w:t>
            </w:r>
          </w:p>
        </w:tc>
        <w:tc>
          <w:tcPr>
            <w:tcW w:w="1134" w:type="dxa"/>
            <w:gridSpan w:val="2"/>
            <w:vAlign w:val="center"/>
          </w:tcPr>
          <w:p>
            <w:pPr>
              <w:widowControl/>
              <w:jc w:val="center"/>
              <w:rPr>
                <w:color w:val="auto"/>
                <w:kern w:val="0"/>
                <w:szCs w:val="21"/>
              </w:rPr>
            </w:pPr>
            <w:r>
              <w:rPr>
                <w:color w:val="auto"/>
                <w:kern w:val="0"/>
                <w:szCs w:val="21"/>
              </w:rPr>
              <w:t>网络化</w:t>
            </w:r>
          </w:p>
          <w:p>
            <w:pPr>
              <w:widowControl/>
              <w:jc w:val="center"/>
              <w:rPr>
                <w:bCs/>
                <w:color w:val="auto"/>
                <w:kern w:val="0"/>
                <w:szCs w:val="21"/>
              </w:rPr>
            </w:pPr>
            <w:r>
              <w:rPr>
                <w:color w:val="auto"/>
                <w:kern w:val="0"/>
                <w:szCs w:val="21"/>
              </w:rPr>
              <w:t>副音箱</w:t>
            </w:r>
          </w:p>
        </w:tc>
        <w:tc>
          <w:tcPr>
            <w:tcW w:w="567" w:type="dxa"/>
            <w:vAlign w:val="center"/>
          </w:tcPr>
          <w:p>
            <w:pPr>
              <w:widowControl/>
              <w:jc w:val="center"/>
              <w:rPr>
                <w:bCs/>
                <w:color w:val="auto"/>
                <w:kern w:val="0"/>
                <w:szCs w:val="21"/>
              </w:rPr>
            </w:pPr>
            <w:r>
              <w:rPr>
                <w:color w:val="auto"/>
                <w:kern w:val="0"/>
                <w:szCs w:val="21"/>
              </w:rPr>
              <w:t>12</w:t>
            </w:r>
            <w:r>
              <w:rPr>
                <w:rFonts w:hint="eastAsia"/>
                <w:color w:val="auto"/>
                <w:kern w:val="0"/>
                <w:szCs w:val="21"/>
              </w:rPr>
              <w:t>8</w:t>
            </w:r>
            <w:r>
              <w:rPr>
                <w:color w:val="auto"/>
                <w:kern w:val="0"/>
                <w:szCs w:val="21"/>
              </w:rPr>
              <w:t>只</w:t>
            </w:r>
          </w:p>
        </w:tc>
        <w:tc>
          <w:tcPr>
            <w:tcW w:w="7512" w:type="dxa"/>
            <w:vAlign w:val="top"/>
          </w:tcPr>
          <w:p>
            <w:pPr>
              <w:rPr>
                <w:color w:val="auto"/>
                <w:kern w:val="0"/>
                <w:szCs w:val="21"/>
                <w:lang w:bidi="ar"/>
              </w:rPr>
            </w:pPr>
            <w:r>
              <w:rPr>
                <w:color w:val="auto"/>
                <w:kern w:val="0"/>
                <w:szCs w:val="21"/>
                <w:lang w:bidi="ar"/>
              </w:rPr>
              <w:t>1.重约1.8kg，配有壁挂孔片，安装便捷；</w:t>
            </w:r>
            <w:r>
              <w:rPr>
                <w:color w:val="auto"/>
                <w:kern w:val="0"/>
                <w:szCs w:val="21"/>
                <w:lang w:bidi="ar"/>
              </w:rPr>
              <w:br w:type="textWrapping"/>
            </w:r>
            <w:r>
              <w:rPr>
                <w:color w:val="auto"/>
                <w:kern w:val="0"/>
                <w:szCs w:val="21"/>
                <w:lang w:bidi="ar"/>
              </w:rPr>
              <w:t>2.额阻抗4Ω，额定功率15W；</w:t>
            </w:r>
            <w:r>
              <w:rPr>
                <w:color w:val="auto"/>
                <w:kern w:val="0"/>
                <w:szCs w:val="21"/>
                <w:lang w:bidi="ar"/>
              </w:rPr>
              <w:br w:type="textWrapping"/>
            </w:r>
            <w:r>
              <w:rPr>
                <w:color w:val="auto"/>
                <w:kern w:val="0"/>
                <w:szCs w:val="21"/>
                <w:lang w:bidi="ar"/>
              </w:rPr>
              <w:t>3.灵敏度90±2dB；</w:t>
            </w:r>
            <w:r>
              <w:rPr>
                <w:color w:val="auto"/>
                <w:kern w:val="0"/>
                <w:szCs w:val="21"/>
                <w:lang w:bidi="ar"/>
              </w:rPr>
              <w:br w:type="textWrapping"/>
            </w:r>
            <w:r>
              <w:rPr>
                <w:color w:val="auto"/>
                <w:kern w:val="0"/>
                <w:szCs w:val="21"/>
                <w:lang w:bidi="ar"/>
              </w:rPr>
              <w:t>4.最大声压级102±2dB；</w:t>
            </w:r>
            <w:r>
              <w:rPr>
                <w:color w:val="auto"/>
                <w:kern w:val="0"/>
                <w:szCs w:val="21"/>
                <w:lang w:bidi="ar"/>
              </w:rPr>
              <w:br w:type="textWrapping"/>
            </w:r>
            <w:r>
              <w:rPr>
                <w:color w:val="auto"/>
                <w:kern w:val="0"/>
                <w:szCs w:val="21"/>
                <w:lang w:bidi="ar"/>
              </w:rPr>
              <w:t>5.有效频率范围100Hz-16kHz；</w:t>
            </w:r>
          </w:p>
          <w:p>
            <w:pPr>
              <w:rPr>
                <w:bCs/>
                <w:color w:val="auto"/>
                <w:kern w:val="0"/>
                <w:szCs w:val="21"/>
              </w:rPr>
            </w:pPr>
            <w:r>
              <w:rPr>
                <w:color w:val="auto"/>
                <w:szCs w:val="21"/>
              </w:rPr>
              <w:t>6.</w:t>
            </w:r>
            <w:r>
              <w:rPr>
                <w:color w:val="auto"/>
                <w:kern w:val="0"/>
                <w:szCs w:val="21"/>
                <w:lang w:bidi="ar"/>
              </w:rPr>
              <w:t xml:space="preserve"> 为了保证系统的稳定性和兼容性，此设备与</w:t>
            </w:r>
            <w:r>
              <w:rPr>
                <w:rFonts w:hint="eastAsia"/>
                <w:color w:val="auto"/>
                <w:kern w:val="0"/>
                <w:szCs w:val="21"/>
                <w:lang w:eastAsia="zh-CN" w:bidi="ar"/>
              </w:rPr>
              <w:t>第</w:t>
            </w:r>
            <w:r>
              <w:rPr>
                <w:rFonts w:hint="eastAsia"/>
                <w:color w:val="auto"/>
                <w:kern w:val="0"/>
                <w:szCs w:val="21"/>
                <w:lang w:val="en-US" w:eastAsia="zh-CN" w:bidi="ar"/>
              </w:rPr>
              <w:t>27项</w:t>
            </w:r>
            <w:r>
              <w:rPr>
                <w:rFonts w:hint="eastAsia"/>
                <w:color w:val="auto"/>
                <w:kern w:val="0"/>
                <w:szCs w:val="21"/>
                <w:lang w:eastAsia="zh-CN" w:bidi="ar"/>
              </w:rPr>
              <w:t>“</w:t>
            </w:r>
            <w:r>
              <w:rPr>
                <w:color w:val="auto"/>
                <w:kern w:val="0"/>
                <w:szCs w:val="21"/>
              </w:rPr>
              <w:t>网络广播中心</w:t>
            </w:r>
            <w:r>
              <w:rPr>
                <w:rFonts w:hint="eastAsia"/>
                <w:color w:val="auto"/>
                <w:kern w:val="0"/>
                <w:szCs w:val="21"/>
                <w:lang w:eastAsia="zh-CN" w:bidi="ar"/>
              </w:rPr>
              <w:t>”</w:t>
            </w:r>
            <w:r>
              <w:rPr>
                <w:color w:val="auto"/>
                <w:kern w:val="0"/>
                <w:szCs w:val="21"/>
                <w:lang w:bidi="ar"/>
              </w:rPr>
              <w:t>同一品牌。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534" w:type="dxa"/>
            <w:vAlign w:val="center"/>
          </w:tcPr>
          <w:p>
            <w:pPr>
              <w:jc w:val="center"/>
              <w:rPr>
                <w:color w:val="auto"/>
                <w:szCs w:val="21"/>
              </w:rPr>
            </w:pPr>
            <w:r>
              <w:rPr>
                <w:color w:val="auto"/>
                <w:szCs w:val="21"/>
              </w:rPr>
              <w:t>45</w:t>
            </w:r>
          </w:p>
        </w:tc>
        <w:tc>
          <w:tcPr>
            <w:tcW w:w="1134" w:type="dxa"/>
            <w:gridSpan w:val="2"/>
            <w:vAlign w:val="center"/>
          </w:tcPr>
          <w:p>
            <w:pPr>
              <w:widowControl/>
              <w:jc w:val="center"/>
              <w:rPr>
                <w:bCs/>
                <w:color w:val="auto"/>
                <w:kern w:val="0"/>
                <w:szCs w:val="21"/>
              </w:rPr>
            </w:pPr>
            <w:r>
              <w:rPr>
                <w:color w:val="auto"/>
                <w:kern w:val="0"/>
                <w:szCs w:val="21"/>
              </w:rPr>
              <w:t>系统集成</w:t>
            </w:r>
          </w:p>
        </w:tc>
        <w:tc>
          <w:tcPr>
            <w:tcW w:w="567" w:type="dxa"/>
            <w:vAlign w:val="center"/>
          </w:tcPr>
          <w:p>
            <w:pPr>
              <w:widowControl/>
              <w:jc w:val="center"/>
              <w:rPr>
                <w:bCs/>
                <w:color w:val="auto"/>
                <w:kern w:val="0"/>
                <w:szCs w:val="21"/>
              </w:rPr>
            </w:pPr>
            <w:r>
              <w:rPr>
                <w:color w:val="auto"/>
                <w:kern w:val="0"/>
                <w:szCs w:val="21"/>
              </w:rPr>
              <w:t>1项</w:t>
            </w:r>
          </w:p>
        </w:tc>
        <w:tc>
          <w:tcPr>
            <w:tcW w:w="7512" w:type="dxa"/>
            <w:vAlign w:val="top"/>
          </w:tcPr>
          <w:p>
            <w:pPr>
              <w:rPr>
                <w:color w:val="auto"/>
                <w:szCs w:val="21"/>
              </w:rPr>
            </w:pPr>
            <w:r>
              <w:rPr>
                <w:color w:val="auto"/>
                <w:szCs w:val="21"/>
              </w:rPr>
              <w:t>考试用广播系统安装材料、安装及培训。</w:t>
            </w:r>
          </w:p>
          <w:p>
            <w:pPr>
              <w:rPr>
                <w:color w:val="auto"/>
                <w:szCs w:val="21"/>
              </w:rPr>
            </w:pPr>
            <w:r>
              <w:rPr>
                <w:color w:val="auto"/>
                <w:szCs w:val="21"/>
              </w:rPr>
              <w:t>1.提供施工图供采购人审核方可施工。</w:t>
            </w:r>
          </w:p>
          <w:p>
            <w:pPr>
              <w:rPr>
                <w:bCs/>
                <w:color w:val="auto"/>
                <w:kern w:val="0"/>
                <w:szCs w:val="21"/>
              </w:rPr>
            </w:pPr>
            <w:r>
              <w:rPr>
                <w:color w:val="auto"/>
                <w:szCs w:val="21"/>
              </w:rPr>
              <w:t>2.本项目为独立电源供电，共116间教室。按照施工图配置路由器、交接机、光纤收发器、光纤、电源线、配电箱、网线、音/视频线、网络机柜、安装辅料等。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747"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exact"/>
              <w:jc w:val="left"/>
              <w:rPr>
                <w:color w:val="auto"/>
                <w:szCs w:val="21"/>
              </w:rPr>
            </w:pPr>
            <w:r>
              <w:rPr>
                <w:rFonts w:hint="eastAsia"/>
                <w:b/>
                <w:color w:val="auto"/>
                <w:kern w:val="0"/>
                <w:szCs w:val="21"/>
              </w:rPr>
              <w:t>四</w:t>
            </w:r>
            <w:r>
              <w:rPr>
                <w:b/>
                <w:color w:val="auto"/>
                <w:kern w:val="0"/>
                <w:szCs w:val="21"/>
              </w:rPr>
              <w:t>、</w:t>
            </w:r>
            <w:r>
              <w:rPr>
                <w:b/>
                <w:color w:val="auto"/>
                <w:kern w:val="0"/>
                <w:szCs w:val="21"/>
                <w:shd w:val="pct10" w:color="auto" w:fill="FFFFFF"/>
              </w:rPr>
              <w:t>本项目商务要求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color w:val="auto"/>
                <w:szCs w:val="21"/>
              </w:rPr>
              <w:t>序号</w:t>
            </w:r>
          </w:p>
        </w:tc>
        <w:tc>
          <w:tcPr>
            <w:tcW w:w="1701" w:type="dxa"/>
            <w:gridSpan w:val="3"/>
            <w:vAlign w:val="center"/>
          </w:tcPr>
          <w:p>
            <w:pPr>
              <w:spacing w:line="300" w:lineRule="exact"/>
              <w:ind w:firstLine="420" w:firstLineChars="200"/>
              <w:rPr>
                <w:color w:val="auto"/>
                <w:szCs w:val="21"/>
              </w:rPr>
            </w:pPr>
            <w:r>
              <w:rPr>
                <w:color w:val="auto"/>
                <w:szCs w:val="21"/>
              </w:rPr>
              <w:t>商务</w:t>
            </w:r>
            <w:r>
              <w:rPr>
                <w:rFonts w:hint="eastAsia"/>
                <w:color w:val="auto"/>
                <w:szCs w:val="21"/>
              </w:rPr>
              <w:t>条款</w:t>
            </w:r>
          </w:p>
        </w:tc>
        <w:tc>
          <w:tcPr>
            <w:tcW w:w="7512" w:type="dxa"/>
            <w:vAlign w:val="center"/>
          </w:tcPr>
          <w:p>
            <w:pPr>
              <w:spacing w:line="300" w:lineRule="exact"/>
              <w:ind w:firstLine="420" w:firstLineChars="200"/>
              <w:jc w:val="center"/>
              <w:rPr>
                <w:color w:val="auto"/>
                <w:szCs w:val="21"/>
              </w:rPr>
            </w:pPr>
            <w:r>
              <w:rPr>
                <w:color w:val="auto"/>
                <w:szCs w:val="21"/>
              </w:rPr>
              <w:t>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rFonts w:hint="eastAsia"/>
                <w:color w:val="auto"/>
                <w:szCs w:val="21"/>
              </w:rPr>
              <w:t>1</w:t>
            </w:r>
          </w:p>
        </w:tc>
        <w:tc>
          <w:tcPr>
            <w:tcW w:w="1701" w:type="dxa"/>
            <w:gridSpan w:val="3"/>
            <w:vAlign w:val="center"/>
          </w:tcPr>
          <w:p>
            <w:pPr>
              <w:spacing w:line="360" w:lineRule="exact"/>
              <w:jc w:val="center"/>
              <w:rPr>
                <w:color w:val="auto"/>
                <w:szCs w:val="21"/>
              </w:rPr>
            </w:pPr>
            <w:r>
              <w:rPr>
                <w:color w:val="auto"/>
                <w:szCs w:val="21"/>
              </w:rPr>
              <w:t>报价要求</w:t>
            </w:r>
          </w:p>
        </w:tc>
        <w:tc>
          <w:tcPr>
            <w:tcW w:w="7512" w:type="dxa"/>
            <w:vAlign w:val="center"/>
          </w:tcPr>
          <w:p>
            <w:pPr>
              <w:spacing w:line="300" w:lineRule="exact"/>
              <w:rPr>
                <w:color w:val="auto"/>
                <w:szCs w:val="21"/>
              </w:rPr>
            </w:pPr>
            <w:r>
              <w:rPr>
                <w:color w:val="auto"/>
                <w:szCs w:val="21"/>
              </w:rPr>
              <w:t>本次报价须为</w:t>
            </w:r>
            <w:r>
              <w:rPr>
                <w:color w:val="auto"/>
                <w:szCs w:val="21"/>
              </w:rPr>
              <w:t>人民币报价，包含产品价、运输费（含装卸费）、保险费、安装调试费、税费、培训费、产品检测费</w:t>
            </w:r>
            <w:r>
              <w:rPr>
                <w:rFonts w:hint="eastAsia"/>
                <w:color w:val="auto"/>
                <w:szCs w:val="21"/>
              </w:rPr>
              <w:t>、</w:t>
            </w:r>
            <w:r>
              <w:rPr>
                <w:color w:val="auto"/>
                <w:szCs w:val="21"/>
              </w:rPr>
              <w:t>产品质保期内维护费等费用。对于本文件中</w:t>
            </w:r>
            <w:r>
              <w:rPr>
                <w:rFonts w:hint="eastAsia"/>
                <w:color w:val="auto"/>
                <w:szCs w:val="21"/>
              </w:rPr>
              <w:t>明确</w:t>
            </w:r>
            <w:r>
              <w:rPr>
                <w:color w:val="auto"/>
                <w:szCs w:val="21"/>
              </w:rPr>
              <w:t>列明</w:t>
            </w:r>
            <w:r>
              <w:rPr>
                <w:rFonts w:hint="eastAsia"/>
                <w:color w:val="auto"/>
                <w:szCs w:val="21"/>
              </w:rPr>
              <w:t>必</w:t>
            </w:r>
            <w:r>
              <w:rPr>
                <w:color w:val="auto"/>
                <w:szCs w:val="21"/>
              </w:rPr>
              <w:t>须报价的货物或服务</w:t>
            </w:r>
            <w:r>
              <w:rPr>
                <w:rFonts w:hint="eastAsia"/>
                <w:color w:val="auto"/>
                <w:szCs w:val="21"/>
              </w:rPr>
              <w:t>，</w:t>
            </w:r>
            <w:r>
              <w:rPr>
                <w:color w:val="auto"/>
                <w:szCs w:val="21"/>
              </w:rPr>
              <w:t>供应商</w:t>
            </w:r>
            <w:r>
              <w:rPr>
                <w:rFonts w:hint="eastAsia"/>
                <w:color w:val="auto"/>
                <w:szCs w:val="21"/>
              </w:rPr>
              <w:t>应分别报价。</w:t>
            </w:r>
            <w:r>
              <w:rPr>
                <w:color w:val="auto"/>
                <w:szCs w:val="21"/>
              </w:rPr>
              <w:t>对于本文件中未列明，而供应商认为必需的费用也需列入总报价。在合同实施时，采购人将不予支付中标人没有列入的项目费用，并认为此项目的费用已包括在投标总报价中。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color w:val="auto"/>
                <w:szCs w:val="21"/>
              </w:rPr>
              <w:t>2</w:t>
            </w:r>
          </w:p>
        </w:tc>
        <w:tc>
          <w:tcPr>
            <w:tcW w:w="1701" w:type="dxa"/>
            <w:gridSpan w:val="3"/>
            <w:vAlign w:val="center"/>
          </w:tcPr>
          <w:p>
            <w:pPr>
              <w:spacing w:line="360" w:lineRule="exact"/>
              <w:jc w:val="center"/>
              <w:rPr>
                <w:color w:val="auto"/>
                <w:szCs w:val="21"/>
              </w:rPr>
            </w:pPr>
            <w:r>
              <w:rPr>
                <w:color w:val="auto"/>
                <w:szCs w:val="21"/>
              </w:rPr>
              <w:t>合同签订日期</w:t>
            </w:r>
          </w:p>
        </w:tc>
        <w:tc>
          <w:tcPr>
            <w:tcW w:w="7512" w:type="dxa"/>
            <w:vAlign w:val="center"/>
          </w:tcPr>
          <w:p>
            <w:pPr>
              <w:spacing w:line="300" w:lineRule="exact"/>
              <w:rPr>
                <w:rFonts w:hint="eastAsia" w:eastAsia="宋体"/>
                <w:color w:val="auto"/>
                <w:szCs w:val="21"/>
                <w:lang w:eastAsia="zh-CN"/>
              </w:rPr>
            </w:pPr>
            <w:r>
              <w:rPr>
                <w:color w:val="auto"/>
                <w:szCs w:val="21"/>
              </w:rPr>
              <w:t>中标通知书发出后30日内</w:t>
            </w:r>
            <w:r>
              <w:rPr>
                <w:rFonts w:hint="eastAsia"/>
                <w:color w:val="auto"/>
                <w:kern w:val="0"/>
                <w:sz w:val="20"/>
                <w:szCs w:val="2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color w:val="auto"/>
                <w:szCs w:val="21"/>
              </w:rPr>
              <w:t>3</w:t>
            </w:r>
          </w:p>
        </w:tc>
        <w:tc>
          <w:tcPr>
            <w:tcW w:w="1701" w:type="dxa"/>
            <w:gridSpan w:val="3"/>
            <w:vAlign w:val="center"/>
          </w:tcPr>
          <w:p>
            <w:pPr>
              <w:spacing w:line="360" w:lineRule="exact"/>
              <w:jc w:val="center"/>
              <w:rPr>
                <w:color w:val="auto"/>
                <w:szCs w:val="21"/>
              </w:rPr>
            </w:pPr>
            <w:r>
              <w:rPr>
                <w:color w:val="auto"/>
                <w:szCs w:val="21"/>
              </w:rPr>
              <w:t>交货（实施）时间</w:t>
            </w:r>
          </w:p>
        </w:tc>
        <w:tc>
          <w:tcPr>
            <w:tcW w:w="7512" w:type="dxa"/>
            <w:vAlign w:val="center"/>
          </w:tcPr>
          <w:p>
            <w:pPr>
              <w:spacing w:line="300" w:lineRule="exact"/>
              <w:rPr>
                <w:color w:val="auto"/>
                <w:szCs w:val="21"/>
              </w:rPr>
            </w:pPr>
            <w:r>
              <w:rPr>
                <w:color w:val="auto"/>
                <w:szCs w:val="21"/>
              </w:rPr>
              <w:t>中标人应在采购合同签定后30个日历日内交货并完成安装调试。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color w:val="auto"/>
                <w:szCs w:val="21"/>
              </w:rPr>
              <w:t>4</w:t>
            </w:r>
          </w:p>
        </w:tc>
        <w:tc>
          <w:tcPr>
            <w:tcW w:w="1701" w:type="dxa"/>
            <w:gridSpan w:val="3"/>
            <w:vAlign w:val="center"/>
          </w:tcPr>
          <w:p>
            <w:pPr>
              <w:spacing w:line="360" w:lineRule="exact"/>
              <w:jc w:val="center"/>
              <w:rPr>
                <w:color w:val="auto"/>
                <w:szCs w:val="21"/>
              </w:rPr>
            </w:pPr>
            <w:r>
              <w:rPr>
                <w:color w:val="auto"/>
                <w:szCs w:val="21"/>
              </w:rPr>
              <w:t>交货地点或服务地点</w:t>
            </w:r>
          </w:p>
        </w:tc>
        <w:tc>
          <w:tcPr>
            <w:tcW w:w="7512" w:type="dxa"/>
            <w:vAlign w:val="center"/>
          </w:tcPr>
          <w:p>
            <w:pPr>
              <w:spacing w:line="300" w:lineRule="exact"/>
              <w:rPr>
                <w:color w:val="auto"/>
                <w:szCs w:val="21"/>
              </w:rPr>
            </w:pPr>
            <w:r>
              <w:rPr>
                <w:color w:val="auto"/>
                <w:szCs w:val="21"/>
              </w:rPr>
              <w:t>广西南宁市南宁师范大学（武鸣校区内采购人指定地点）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color w:val="auto"/>
                <w:szCs w:val="21"/>
              </w:rPr>
              <w:t>5</w:t>
            </w:r>
          </w:p>
        </w:tc>
        <w:tc>
          <w:tcPr>
            <w:tcW w:w="1701" w:type="dxa"/>
            <w:gridSpan w:val="3"/>
            <w:vAlign w:val="center"/>
          </w:tcPr>
          <w:p>
            <w:pPr>
              <w:spacing w:line="360" w:lineRule="exact"/>
              <w:jc w:val="center"/>
              <w:rPr>
                <w:color w:val="auto"/>
                <w:szCs w:val="21"/>
              </w:rPr>
            </w:pPr>
            <w:r>
              <w:rPr>
                <w:color w:val="auto"/>
                <w:szCs w:val="21"/>
              </w:rPr>
              <w:t>验收标准</w:t>
            </w:r>
          </w:p>
        </w:tc>
        <w:tc>
          <w:tcPr>
            <w:tcW w:w="7512" w:type="dxa"/>
            <w:vAlign w:val="center"/>
          </w:tcPr>
          <w:p>
            <w:pPr>
              <w:spacing w:line="300" w:lineRule="exact"/>
              <w:rPr>
                <w:color w:val="auto"/>
                <w:szCs w:val="21"/>
              </w:rPr>
            </w:pPr>
            <w:r>
              <w:rPr>
                <w:color w:val="auto"/>
                <w:szCs w:val="21"/>
              </w:rPr>
              <w:t>1．检查供货范围或服务范围</w:t>
            </w:r>
          </w:p>
          <w:p>
            <w:pPr>
              <w:spacing w:line="300" w:lineRule="exact"/>
              <w:rPr>
                <w:color w:val="auto"/>
                <w:szCs w:val="21"/>
              </w:rPr>
            </w:pPr>
            <w:r>
              <w:rPr>
                <w:color w:val="auto"/>
                <w:szCs w:val="21"/>
              </w:rPr>
              <w:sym w:font="Wingdings 2" w:char="F052"/>
            </w:r>
            <w:r>
              <w:rPr>
                <w:color w:val="auto"/>
                <w:szCs w:val="21"/>
              </w:rPr>
              <w:t>货物类：产品到达现场后，中标人应在采购人单位人员在场情况下当面开箱，共同清点、检查外观，作出开箱记录，双方签字确认。中标人应保证货物到达采购人所在地完好无损，如有缺漏、损坏，由中标人负责调换、补齐或赔偿。</w:t>
            </w:r>
          </w:p>
          <w:p>
            <w:pPr>
              <w:spacing w:line="300" w:lineRule="exact"/>
              <w:rPr>
                <w:color w:val="auto"/>
                <w:szCs w:val="21"/>
              </w:rPr>
            </w:pPr>
            <w:r>
              <w:rPr>
                <w:color w:val="auto"/>
                <w:szCs w:val="21"/>
              </w:rPr>
              <w:sym w:font="Wingdings 2" w:char="F0A3"/>
            </w:r>
            <w:r>
              <w:rPr>
                <w:color w:val="auto"/>
                <w:szCs w:val="21"/>
              </w:rPr>
              <w:t>服务类：根据招标文件检查服务内容是否满足要求。</w:t>
            </w:r>
          </w:p>
          <w:p>
            <w:pPr>
              <w:spacing w:line="300" w:lineRule="exact"/>
              <w:rPr>
                <w:color w:val="auto"/>
                <w:szCs w:val="21"/>
              </w:rPr>
            </w:pPr>
            <w:r>
              <w:rPr>
                <w:color w:val="auto"/>
                <w:szCs w:val="21"/>
              </w:rPr>
              <w:t>2．中标人应提供完备的技术或服务资料、装箱单和合格证等，并派遣专业人员进行现场安装调试。验收</w:t>
            </w:r>
            <w:r>
              <w:rPr>
                <w:rFonts w:hint="eastAsia"/>
                <w:color w:val="auto"/>
                <w:szCs w:val="21"/>
              </w:rPr>
              <w:t>合格</w:t>
            </w:r>
            <w:r>
              <w:rPr>
                <w:color w:val="auto"/>
                <w:szCs w:val="21"/>
              </w:rPr>
              <w:t>条件如下：</w:t>
            </w:r>
          </w:p>
          <w:p>
            <w:pPr>
              <w:spacing w:line="300" w:lineRule="exact"/>
              <w:rPr>
                <w:color w:val="auto"/>
                <w:szCs w:val="21"/>
              </w:rPr>
            </w:pPr>
            <w:r>
              <w:rPr>
                <w:color w:val="auto"/>
                <w:szCs w:val="21"/>
              </w:rPr>
              <w:t>2.1货物或服务技术参数与</w:t>
            </w:r>
            <w:r>
              <w:rPr>
                <w:rFonts w:hint="eastAsia"/>
                <w:color w:val="auto"/>
                <w:szCs w:val="21"/>
              </w:rPr>
              <w:t>投标文件中响应表或证明材料</w:t>
            </w:r>
            <w:r>
              <w:rPr>
                <w:color w:val="auto"/>
                <w:szCs w:val="21"/>
              </w:rPr>
              <w:t>一致，性能或指标达到规定的标准</w:t>
            </w:r>
            <w:r>
              <w:rPr>
                <w:rFonts w:hint="eastAsia"/>
                <w:color w:val="auto"/>
                <w:szCs w:val="21"/>
              </w:rPr>
              <w:t>，否则，以实际货物或服务技术参数与投标文件响应表参数或证明材料比较，按如下情况处理：</w:t>
            </w:r>
          </w:p>
          <w:p>
            <w:pPr>
              <w:spacing w:line="300" w:lineRule="exact"/>
              <w:rPr>
                <w:color w:val="auto"/>
                <w:szCs w:val="21"/>
              </w:rPr>
            </w:pPr>
            <w:r>
              <w:rPr>
                <w:rFonts w:hint="eastAsia"/>
                <w:color w:val="auto"/>
                <w:szCs w:val="21"/>
              </w:rPr>
              <w:t>（1）供应商投标文件响应表或证明材料中满足或优于的技术参数，在验收时实际不满足技术参数要求的，视为供货商违约，采购人有权终止合同拒收货物，并追究供应商责任，同时报财政部门备案。</w:t>
            </w:r>
          </w:p>
          <w:p>
            <w:pPr>
              <w:spacing w:line="300" w:lineRule="exact"/>
              <w:rPr>
                <w:color w:val="auto"/>
                <w:szCs w:val="21"/>
              </w:rPr>
            </w:pPr>
            <w:r>
              <w:rPr>
                <w:rFonts w:hint="eastAsia"/>
                <w:color w:val="auto"/>
                <w:szCs w:val="21"/>
              </w:rPr>
              <w:t>（2）供应商投标文件响应表或证明材料中优于的技术参数，在验收时实际仅满足并未优于技术参数要求的，视为供货商违约，采购人有权终止合同拒收货物，并追究供应商责任，同时报财政部门备案。</w:t>
            </w:r>
          </w:p>
          <w:p>
            <w:pPr>
              <w:spacing w:line="300" w:lineRule="exact"/>
              <w:rPr>
                <w:color w:val="auto"/>
                <w:szCs w:val="21"/>
              </w:rPr>
            </w:pPr>
            <w:r>
              <w:rPr>
                <w:rFonts w:hint="eastAsia"/>
                <w:color w:val="auto"/>
                <w:szCs w:val="21"/>
              </w:rPr>
              <w:t xml:space="preserve">（3）供应商投标文件响应表或证明材料中不满足的技术参数，在验收时实际满足技术参数的要求，以满足技术参数的要求验收。 </w:t>
            </w:r>
          </w:p>
          <w:p>
            <w:pPr>
              <w:spacing w:line="300" w:lineRule="exact"/>
              <w:rPr>
                <w:color w:val="auto"/>
                <w:szCs w:val="21"/>
              </w:rPr>
            </w:pPr>
            <w:r>
              <w:rPr>
                <w:rFonts w:hint="eastAsia"/>
                <w:color w:val="auto"/>
                <w:szCs w:val="21"/>
              </w:rPr>
              <w:t>（</w:t>
            </w:r>
            <w:r>
              <w:rPr>
                <w:color w:val="auto"/>
                <w:szCs w:val="21"/>
              </w:rPr>
              <w:t>4</w:t>
            </w:r>
            <w:r>
              <w:rPr>
                <w:rFonts w:hint="eastAsia"/>
                <w:color w:val="auto"/>
                <w:szCs w:val="21"/>
              </w:rPr>
              <w:t>）供应商投标文件响应表或证明材料中满足的技术参数，在验收时实际优于技术参数的要求，以满足技术参数的要求验收。</w:t>
            </w:r>
          </w:p>
          <w:p>
            <w:pPr>
              <w:spacing w:line="300" w:lineRule="exact"/>
              <w:rPr>
                <w:color w:val="auto"/>
                <w:szCs w:val="21"/>
              </w:rPr>
            </w:pPr>
            <w:r>
              <w:rPr>
                <w:rFonts w:hint="eastAsia"/>
                <w:color w:val="auto"/>
                <w:szCs w:val="21"/>
              </w:rPr>
              <w:t>（5）供应商投标文件响应表或证明材料中优于的技术参数，在验收时实际也优于技术参数的要求，但没有达到响应表或证明材料中优于的程度，如果不影响货物或服务的使用、质量、档次及采购人需求等，以满足技术参数的要求验收。如果影响货物或服务的使用、质量、档次及采购人需求，视为供货商违约，采购人有权终止合同拒收货物，并追究供应商责任，同时报财政部门备案。</w:t>
            </w:r>
          </w:p>
          <w:p>
            <w:pPr>
              <w:spacing w:line="300" w:lineRule="exact"/>
              <w:rPr>
                <w:color w:val="auto"/>
                <w:szCs w:val="21"/>
              </w:rPr>
            </w:pPr>
            <w:r>
              <w:rPr>
                <w:rFonts w:hint="eastAsia"/>
                <w:color w:val="auto"/>
                <w:szCs w:val="21"/>
              </w:rPr>
              <w:t>（</w:t>
            </w:r>
            <w:r>
              <w:rPr>
                <w:color w:val="auto"/>
                <w:szCs w:val="21"/>
              </w:rPr>
              <w:t>6</w:t>
            </w:r>
            <w:r>
              <w:rPr>
                <w:rFonts w:hint="eastAsia"/>
                <w:color w:val="auto"/>
                <w:szCs w:val="21"/>
              </w:rPr>
              <w:t>）实际货物与投标货物型号不一致的，验收时不论实际是优于还是满足技术参数的要求，采购人均有权终止合同拒收货物。如影响货物或服务的使用、质量、档次及招标人需求的，还可视为供货商违约，追究供应商责任，同时报财政部门备案。</w:t>
            </w:r>
          </w:p>
          <w:p>
            <w:pPr>
              <w:spacing w:line="300" w:lineRule="exact"/>
              <w:rPr>
                <w:color w:val="auto"/>
                <w:szCs w:val="21"/>
              </w:rPr>
            </w:pPr>
            <w:r>
              <w:rPr>
                <w:color w:val="auto"/>
                <w:szCs w:val="21"/>
              </w:rPr>
              <w:t>2.2技术资料、装箱单、合格证等资料齐全。</w:t>
            </w:r>
          </w:p>
          <w:p>
            <w:pPr>
              <w:spacing w:line="300" w:lineRule="exact"/>
              <w:rPr>
                <w:color w:val="auto"/>
                <w:szCs w:val="21"/>
              </w:rPr>
            </w:pPr>
            <w:r>
              <w:rPr>
                <w:color w:val="auto"/>
                <w:szCs w:val="21"/>
              </w:rPr>
              <w:t>2.3在测试或试运行期间所出现的问题得到解决，并运行或工作正常。</w:t>
            </w:r>
          </w:p>
          <w:p>
            <w:pPr>
              <w:spacing w:line="300" w:lineRule="exact"/>
              <w:rPr>
                <w:color w:val="auto"/>
                <w:szCs w:val="21"/>
              </w:rPr>
            </w:pPr>
            <w:r>
              <w:rPr>
                <w:color w:val="auto"/>
                <w:szCs w:val="21"/>
              </w:rPr>
              <w:t>2.4在规定时间内完成交货及验收，并经采购人确认。</w:t>
            </w:r>
          </w:p>
          <w:p>
            <w:pPr>
              <w:spacing w:line="300" w:lineRule="exact"/>
              <w:rPr>
                <w:color w:val="auto"/>
                <w:szCs w:val="21"/>
              </w:rPr>
            </w:pPr>
            <w:r>
              <w:rPr>
                <w:color w:val="auto"/>
                <w:szCs w:val="21"/>
              </w:rPr>
              <w:t>3．产品或服务在安装调试并试运行符合要求后，才作为最终验收。</w:t>
            </w:r>
          </w:p>
          <w:p>
            <w:pPr>
              <w:spacing w:line="300" w:lineRule="exact"/>
              <w:rPr>
                <w:color w:val="auto"/>
                <w:szCs w:val="21"/>
              </w:rPr>
            </w:pPr>
            <w:r>
              <w:rPr>
                <w:color w:val="auto"/>
                <w:szCs w:val="21"/>
              </w:rPr>
              <w:t>4．中标人提供的货物或服务未达到招标文件规定要求，且对采购人造成损失的，由中标人承担一切责任，并赔偿所造成的损失。</w:t>
            </w:r>
          </w:p>
          <w:p>
            <w:pPr>
              <w:spacing w:line="300" w:lineRule="exact"/>
              <w:rPr>
                <w:color w:val="auto"/>
                <w:szCs w:val="21"/>
              </w:rPr>
            </w:pPr>
            <w:r>
              <w:rPr>
                <w:color w:val="auto"/>
                <w:szCs w:val="21"/>
              </w:rPr>
              <w:t>5．采购人需要制造商对中标人交付的产品或服务（包括质量、参数等）进行确认的，制造商应予以配合并出具书面意见，相关配合事项由中标人与制造商协调。</w:t>
            </w:r>
          </w:p>
          <w:p>
            <w:pPr>
              <w:spacing w:line="300" w:lineRule="exact"/>
              <w:rPr>
                <w:color w:val="auto"/>
                <w:szCs w:val="21"/>
              </w:rPr>
            </w:pPr>
            <w:r>
              <w:rPr>
                <w:color w:val="auto"/>
                <w:szCs w:val="21"/>
              </w:rPr>
              <w:t>6．产品包装材料归采购人所有。</w:t>
            </w:r>
          </w:p>
          <w:p>
            <w:pPr>
              <w:spacing w:line="300" w:lineRule="exact"/>
              <w:rPr>
                <w:color w:val="auto"/>
                <w:szCs w:val="21"/>
              </w:rPr>
            </w:pPr>
            <w:r>
              <w:rPr>
                <w:color w:val="auto"/>
                <w:szCs w:val="21"/>
              </w:rPr>
              <w:t>7．大型或者复杂的政府采购项目，采购人应当邀请具有相关资质的检测机构参加验收工作。</w:t>
            </w:r>
          </w:p>
          <w:p>
            <w:pPr>
              <w:spacing w:line="300" w:lineRule="exact"/>
              <w:rPr>
                <w:color w:val="auto"/>
                <w:szCs w:val="21"/>
              </w:rPr>
            </w:pPr>
            <w:r>
              <w:rPr>
                <w:color w:val="auto"/>
                <w:szCs w:val="21"/>
              </w:rPr>
              <w:t>8．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color w:val="auto"/>
                <w:szCs w:val="21"/>
              </w:rPr>
              <w:t>6</w:t>
            </w:r>
          </w:p>
        </w:tc>
        <w:tc>
          <w:tcPr>
            <w:tcW w:w="1701" w:type="dxa"/>
            <w:gridSpan w:val="3"/>
            <w:vAlign w:val="center"/>
          </w:tcPr>
          <w:p>
            <w:pPr>
              <w:spacing w:line="360" w:lineRule="exact"/>
              <w:jc w:val="center"/>
              <w:rPr>
                <w:color w:val="auto"/>
                <w:szCs w:val="21"/>
              </w:rPr>
            </w:pPr>
            <w:r>
              <w:rPr>
                <w:color w:val="auto"/>
                <w:szCs w:val="21"/>
              </w:rPr>
              <w:t>服务标准、期限、效率</w:t>
            </w:r>
          </w:p>
        </w:tc>
        <w:tc>
          <w:tcPr>
            <w:tcW w:w="7512" w:type="dxa"/>
            <w:vAlign w:val="center"/>
          </w:tcPr>
          <w:p>
            <w:pPr>
              <w:spacing w:line="300" w:lineRule="exact"/>
              <w:rPr>
                <w:color w:val="auto"/>
                <w:szCs w:val="21"/>
              </w:rPr>
            </w:pPr>
            <w:r>
              <w:rPr>
                <w:color w:val="auto"/>
                <w:szCs w:val="21"/>
              </w:rPr>
              <w:t>1．中标人在质量保证期内应当为采购人提供以下技术支持和服务：</w:t>
            </w:r>
          </w:p>
          <w:p>
            <w:pPr>
              <w:spacing w:line="300" w:lineRule="exact"/>
              <w:rPr>
                <w:color w:val="auto"/>
                <w:szCs w:val="21"/>
              </w:rPr>
            </w:pPr>
            <w:r>
              <w:rPr>
                <w:color w:val="auto"/>
                <w:szCs w:val="21"/>
              </w:rPr>
              <w:t>1.1电话咨询</w:t>
            </w:r>
          </w:p>
          <w:p>
            <w:pPr>
              <w:spacing w:line="300" w:lineRule="exact"/>
              <w:rPr>
                <w:color w:val="auto"/>
                <w:szCs w:val="21"/>
              </w:rPr>
            </w:pPr>
            <w:r>
              <w:rPr>
                <w:color w:val="auto"/>
                <w:szCs w:val="21"/>
              </w:rPr>
              <w:t>中标人应当为采购人提供技术援助电话，解答采购人在使用中遇到的问题，及时为采购人提出解决问题的建议。</w:t>
            </w:r>
          </w:p>
          <w:p>
            <w:pPr>
              <w:spacing w:line="300" w:lineRule="exact"/>
              <w:rPr>
                <w:color w:val="auto"/>
                <w:szCs w:val="21"/>
              </w:rPr>
            </w:pPr>
            <w:r>
              <w:rPr>
                <w:color w:val="auto"/>
                <w:szCs w:val="21"/>
              </w:rPr>
              <w:t>1.2现场响应</w:t>
            </w:r>
          </w:p>
          <w:p>
            <w:pPr>
              <w:spacing w:line="300" w:lineRule="exact"/>
              <w:rPr>
                <w:color w:val="auto"/>
                <w:szCs w:val="21"/>
              </w:rPr>
            </w:pPr>
            <w:r>
              <w:rPr>
                <w:color w:val="auto"/>
                <w:szCs w:val="21"/>
              </w:rPr>
              <w:t>采购人遇到使用或技术问题，电话咨询不能解决的，中标人应在</w:t>
            </w:r>
            <w:r>
              <w:rPr>
                <w:rFonts w:hint="eastAsia"/>
                <w:color w:val="auto"/>
                <w:szCs w:val="21"/>
              </w:rPr>
              <w:t>2小时内</w:t>
            </w:r>
            <w:r>
              <w:rPr>
                <w:color w:val="auto"/>
                <w:szCs w:val="21"/>
              </w:rPr>
              <w:t>到达现场进行处理，到达现场后2小时内排除故障，恢复正常使用。</w:t>
            </w:r>
          </w:p>
          <w:p>
            <w:pPr>
              <w:spacing w:line="300" w:lineRule="exact"/>
              <w:rPr>
                <w:color w:val="auto"/>
                <w:szCs w:val="21"/>
              </w:rPr>
            </w:pPr>
            <w:r>
              <w:rPr>
                <w:color w:val="auto"/>
                <w:szCs w:val="21"/>
              </w:rPr>
              <w:t>1.3技术升级</w:t>
            </w:r>
          </w:p>
          <w:p>
            <w:pPr>
              <w:spacing w:line="300" w:lineRule="exact"/>
              <w:rPr>
                <w:color w:val="auto"/>
                <w:szCs w:val="21"/>
              </w:rPr>
            </w:pPr>
            <w:r>
              <w:rPr>
                <w:color w:val="auto"/>
                <w:szCs w:val="21"/>
              </w:rPr>
              <w:t>在质保期内，如果中标人的产品或服务升级，中标人应及时通知采购人，如采购人有相应要求，中标人应对采购人购买的产品或服务进行升级。</w:t>
            </w:r>
          </w:p>
          <w:p>
            <w:pPr>
              <w:spacing w:line="300" w:lineRule="exact"/>
              <w:rPr>
                <w:color w:val="auto"/>
                <w:szCs w:val="21"/>
              </w:rPr>
            </w:pPr>
            <w:r>
              <w:rPr>
                <w:color w:val="auto"/>
                <w:szCs w:val="21"/>
              </w:rPr>
              <w:t>1.</w:t>
            </w:r>
            <w:r>
              <w:rPr>
                <w:rFonts w:hint="eastAsia"/>
                <w:color w:val="auto"/>
                <w:szCs w:val="21"/>
              </w:rPr>
              <w:t>4</w:t>
            </w:r>
            <w:r>
              <w:rPr>
                <w:color w:val="auto"/>
                <w:szCs w:val="21"/>
              </w:rPr>
              <w:t>质量保证期内的</w:t>
            </w:r>
            <w:r>
              <w:rPr>
                <w:rFonts w:hint="eastAsia"/>
                <w:color w:val="auto"/>
                <w:szCs w:val="21"/>
              </w:rPr>
              <w:t>费用</w:t>
            </w:r>
          </w:p>
          <w:p>
            <w:pPr>
              <w:spacing w:line="300" w:lineRule="exact"/>
              <w:rPr>
                <w:color w:val="auto"/>
                <w:szCs w:val="21"/>
              </w:rPr>
            </w:pPr>
            <w:r>
              <w:rPr>
                <w:color w:val="auto"/>
                <w:szCs w:val="21"/>
              </w:rPr>
              <w:t>质量保证期内供应商为采购人所提供的</w:t>
            </w:r>
            <w:r>
              <w:rPr>
                <w:rFonts w:hint="eastAsia"/>
                <w:color w:val="auto"/>
                <w:szCs w:val="21"/>
              </w:rPr>
              <w:t>所有技术支持和</w:t>
            </w:r>
            <w:r>
              <w:rPr>
                <w:color w:val="auto"/>
                <w:szCs w:val="21"/>
              </w:rPr>
              <w:t>服务</w:t>
            </w:r>
            <w:r>
              <w:rPr>
                <w:rFonts w:hint="eastAsia"/>
                <w:color w:val="auto"/>
                <w:szCs w:val="21"/>
              </w:rPr>
              <w:t>费用以及</w:t>
            </w:r>
            <w:r>
              <w:rPr>
                <w:color w:val="auto"/>
                <w:szCs w:val="21"/>
              </w:rPr>
              <w:t>上门维修、更换零部件费用</w:t>
            </w:r>
            <w:r>
              <w:rPr>
                <w:rFonts w:hint="eastAsia"/>
                <w:color w:val="auto"/>
                <w:szCs w:val="21"/>
              </w:rPr>
              <w:t>均包含在投标报价中，</w:t>
            </w:r>
            <w:r>
              <w:rPr>
                <w:color w:val="auto"/>
                <w:szCs w:val="21"/>
              </w:rPr>
              <w:t>采购人不再另行支付</w:t>
            </w:r>
            <w:r>
              <w:rPr>
                <w:rFonts w:hint="eastAsia"/>
                <w:color w:val="auto"/>
                <w:szCs w:val="21"/>
              </w:rPr>
              <w:t>。</w:t>
            </w:r>
          </w:p>
          <w:p>
            <w:pPr>
              <w:spacing w:line="300" w:lineRule="exact"/>
              <w:rPr>
                <w:color w:val="auto"/>
                <w:szCs w:val="21"/>
              </w:rPr>
            </w:pPr>
            <w:r>
              <w:rPr>
                <w:color w:val="auto"/>
                <w:szCs w:val="21"/>
              </w:rPr>
              <w:t>2．质保期</w:t>
            </w:r>
            <w:r>
              <w:rPr>
                <w:rFonts w:hint="eastAsia"/>
                <w:color w:val="auto"/>
                <w:szCs w:val="21"/>
              </w:rPr>
              <w:t>过后</w:t>
            </w:r>
            <w:r>
              <w:rPr>
                <w:color w:val="auto"/>
                <w:szCs w:val="21"/>
              </w:rPr>
              <w:t>的服务要求</w:t>
            </w:r>
          </w:p>
          <w:p>
            <w:pPr>
              <w:spacing w:line="300" w:lineRule="exact"/>
              <w:rPr>
                <w:color w:val="auto"/>
                <w:szCs w:val="21"/>
              </w:rPr>
            </w:pPr>
            <w:r>
              <w:rPr>
                <w:color w:val="auto"/>
                <w:szCs w:val="21"/>
              </w:rPr>
              <w:t>电话咨询</w:t>
            </w:r>
            <w:r>
              <w:rPr>
                <w:rFonts w:hint="eastAsia"/>
                <w:color w:val="auto"/>
                <w:szCs w:val="21"/>
              </w:rPr>
              <w:t>：</w:t>
            </w:r>
            <w:r>
              <w:rPr>
                <w:color w:val="auto"/>
                <w:szCs w:val="21"/>
              </w:rPr>
              <w:t>产品质量保证期过后</w:t>
            </w:r>
            <w:r>
              <w:rPr>
                <w:rFonts w:hint="eastAsia"/>
                <w:color w:val="auto"/>
                <w:szCs w:val="21"/>
              </w:rPr>
              <w:t>，</w:t>
            </w:r>
            <w:r>
              <w:rPr>
                <w:color w:val="auto"/>
                <w:szCs w:val="21"/>
              </w:rPr>
              <w:t>中标人应当为采购人提供技术援助电话，解答采购人在使用中遇到的问题，及时为采购人提出解决问题的建议</w:t>
            </w:r>
            <w:r>
              <w:rPr>
                <w:rFonts w:hint="eastAsia"/>
                <w:color w:val="auto"/>
                <w:szCs w:val="21"/>
              </w:rPr>
              <w:t>，</w:t>
            </w:r>
            <w:r>
              <w:rPr>
                <w:color w:val="auto"/>
                <w:szCs w:val="21"/>
              </w:rPr>
              <w:t>并不予收费。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color w:val="auto"/>
                <w:szCs w:val="21"/>
              </w:rPr>
              <w:t>7</w:t>
            </w:r>
          </w:p>
        </w:tc>
        <w:tc>
          <w:tcPr>
            <w:tcW w:w="1701" w:type="dxa"/>
            <w:gridSpan w:val="3"/>
            <w:vAlign w:val="center"/>
          </w:tcPr>
          <w:p>
            <w:pPr>
              <w:spacing w:line="360" w:lineRule="exact"/>
              <w:jc w:val="center"/>
              <w:rPr>
                <w:color w:val="auto"/>
                <w:szCs w:val="21"/>
              </w:rPr>
            </w:pPr>
            <w:r>
              <w:rPr>
                <w:color w:val="auto"/>
                <w:szCs w:val="21"/>
              </w:rPr>
              <w:t>培训</w:t>
            </w:r>
          </w:p>
        </w:tc>
        <w:tc>
          <w:tcPr>
            <w:tcW w:w="7512" w:type="dxa"/>
            <w:vAlign w:val="center"/>
          </w:tcPr>
          <w:p>
            <w:pPr>
              <w:spacing w:line="300" w:lineRule="exact"/>
              <w:jc w:val="left"/>
              <w:rPr>
                <w:color w:val="auto"/>
                <w:szCs w:val="21"/>
              </w:rPr>
            </w:pPr>
            <w:r>
              <w:rPr>
                <w:color w:val="auto"/>
                <w:szCs w:val="21"/>
              </w:rPr>
              <w:t>供应商对其提供产品或服务的使用和操作应尽培训义务。供应商应提供对采购人的基本培训，使采购人使用人员熟练掌握所培训内容，熟练掌握全部功能</w:t>
            </w:r>
            <w:r>
              <w:rPr>
                <w:rFonts w:hint="eastAsia"/>
                <w:color w:val="auto"/>
                <w:szCs w:val="21"/>
              </w:rPr>
              <w:t>，</w:t>
            </w:r>
            <w:r>
              <w:rPr>
                <w:color w:val="auto"/>
                <w:szCs w:val="21"/>
              </w:rPr>
              <w:t>培训的相关费用包括在</w:t>
            </w:r>
            <w:r>
              <w:rPr>
                <w:rFonts w:hint="eastAsia"/>
                <w:color w:val="auto"/>
                <w:szCs w:val="21"/>
              </w:rPr>
              <w:t>投标</w:t>
            </w:r>
            <w:r>
              <w:rPr>
                <w:color w:val="auto"/>
                <w:szCs w:val="21"/>
              </w:rPr>
              <w:t>报价中</w:t>
            </w:r>
            <w:r>
              <w:rPr>
                <w:rFonts w:hint="eastAsia"/>
                <w:color w:val="auto"/>
                <w:szCs w:val="21"/>
              </w:rPr>
              <w:t>，</w:t>
            </w:r>
            <w:r>
              <w:rPr>
                <w:color w:val="auto"/>
                <w:szCs w:val="21"/>
              </w:rPr>
              <w:t>采购人不再另行支付。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color w:val="auto"/>
                <w:szCs w:val="21"/>
              </w:rPr>
              <w:t>8</w:t>
            </w:r>
          </w:p>
        </w:tc>
        <w:tc>
          <w:tcPr>
            <w:tcW w:w="1701" w:type="dxa"/>
            <w:gridSpan w:val="3"/>
            <w:vAlign w:val="center"/>
          </w:tcPr>
          <w:p>
            <w:pPr>
              <w:spacing w:line="360" w:lineRule="exact"/>
              <w:jc w:val="center"/>
              <w:rPr>
                <w:color w:val="auto"/>
                <w:szCs w:val="21"/>
              </w:rPr>
            </w:pPr>
            <w:r>
              <w:rPr>
                <w:color w:val="auto"/>
                <w:szCs w:val="21"/>
              </w:rPr>
              <w:t>知识产权</w:t>
            </w:r>
          </w:p>
        </w:tc>
        <w:tc>
          <w:tcPr>
            <w:tcW w:w="7512" w:type="dxa"/>
            <w:vAlign w:val="center"/>
          </w:tcPr>
          <w:p>
            <w:pPr>
              <w:spacing w:line="300" w:lineRule="exact"/>
              <w:jc w:val="left"/>
              <w:rPr>
                <w:color w:val="auto"/>
                <w:szCs w:val="21"/>
              </w:rPr>
            </w:pPr>
            <w:r>
              <w:rPr>
                <w:color w:val="auto"/>
                <w:szCs w:val="21"/>
              </w:rPr>
              <w:t>采购人在中华人民共和国境内使用供应商提供的产品及服务时免受第三方提出的侵犯其专利权或其它知识产权的起诉。如果第三方提出侵权指控，中标人应承担由此而引起的一切法律责任和费用。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color w:val="auto"/>
                <w:szCs w:val="21"/>
              </w:rPr>
              <w:t>9</w:t>
            </w:r>
          </w:p>
        </w:tc>
        <w:tc>
          <w:tcPr>
            <w:tcW w:w="1701" w:type="dxa"/>
            <w:gridSpan w:val="3"/>
            <w:vAlign w:val="center"/>
          </w:tcPr>
          <w:p>
            <w:pPr>
              <w:spacing w:line="360" w:lineRule="exact"/>
              <w:jc w:val="center"/>
              <w:rPr>
                <w:color w:val="auto"/>
                <w:szCs w:val="21"/>
              </w:rPr>
            </w:pPr>
            <w:r>
              <w:rPr>
                <w:color w:val="auto"/>
                <w:szCs w:val="21"/>
              </w:rPr>
              <w:t>付款方式、时间及条件</w:t>
            </w:r>
          </w:p>
        </w:tc>
        <w:tc>
          <w:tcPr>
            <w:tcW w:w="7512" w:type="dxa"/>
            <w:vAlign w:val="center"/>
          </w:tcPr>
          <w:p>
            <w:pPr>
              <w:spacing w:line="300" w:lineRule="exact"/>
              <w:jc w:val="left"/>
              <w:rPr>
                <w:color w:val="auto"/>
                <w:szCs w:val="21"/>
              </w:rPr>
            </w:pPr>
            <w:r>
              <w:rPr>
                <w:color w:val="auto"/>
                <w:szCs w:val="21"/>
              </w:rPr>
              <w:t>1．供应商按采购合同交货并安装调试完成后或服务完成后，采购人签署项目验收书；</w:t>
            </w:r>
          </w:p>
          <w:p>
            <w:pPr>
              <w:spacing w:line="300" w:lineRule="exact"/>
              <w:jc w:val="left"/>
              <w:rPr>
                <w:color w:val="auto"/>
                <w:szCs w:val="21"/>
              </w:rPr>
            </w:pPr>
            <w:r>
              <w:rPr>
                <w:color w:val="auto"/>
                <w:szCs w:val="21"/>
              </w:rPr>
              <w:t>2．供应商向采购人开具全额发票和验收书向采购人提出付款申请；</w:t>
            </w:r>
          </w:p>
          <w:p>
            <w:pPr>
              <w:spacing w:line="300" w:lineRule="exact"/>
              <w:jc w:val="left"/>
              <w:rPr>
                <w:color w:val="auto"/>
                <w:szCs w:val="21"/>
              </w:rPr>
            </w:pPr>
            <w:r>
              <w:rPr>
                <w:color w:val="auto"/>
                <w:szCs w:val="21"/>
              </w:rPr>
              <w:t>3．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p>
          <w:p>
            <w:pPr>
              <w:spacing w:line="300" w:lineRule="exact"/>
              <w:jc w:val="left"/>
              <w:rPr>
                <w:color w:val="auto"/>
                <w:szCs w:val="21"/>
              </w:rPr>
            </w:pPr>
            <w:r>
              <w:rPr>
                <w:rFonts w:hint="eastAsia"/>
                <w:color w:val="auto"/>
                <w:szCs w:val="21"/>
              </w:rPr>
              <w:t>4</w:t>
            </w:r>
            <w:r>
              <w:rPr>
                <w:color w:val="auto"/>
                <w:szCs w:val="21"/>
              </w:rPr>
              <w:t>．</w:t>
            </w:r>
            <w:r>
              <w:rPr>
                <w:rFonts w:hint="eastAsia"/>
                <w:color w:val="auto"/>
                <w:szCs w:val="21"/>
              </w:rPr>
              <w:t>付款方式：详见采购合同</w:t>
            </w:r>
          </w:p>
          <w:p>
            <w:pPr>
              <w:spacing w:line="300" w:lineRule="exact"/>
              <w:jc w:val="left"/>
              <w:rPr>
                <w:color w:val="auto"/>
                <w:szCs w:val="21"/>
              </w:rPr>
            </w:pPr>
            <w:r>
              <w:rPr>
                <w:color w:val="auto"/>
                <w:szCs w:val="21"/>
              </w:rPr>
              <w:t>5．本合同使用货币币制如未作特别说明均为人民币。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color w:val="auto"/>
                <w:szCs w:val="21"/>
              </w:rPr>
              <w:t>10</w:t>
            </w:r>
          </w:p>
        </w:tc>
        <w:tc>
          <w:tcPr>
            <w:tcW w:w="1701" w:type="dxa"/>
            <w:gridSpan w:val="3"/>
            <w:vAlign w:val="center"/>
          </w:tcPr>
          <w:p>
            <w:pPr>
              <w:spacing w:line="300" w:lineRule="exact"/>
              <w:jc w:val="center"/>
              <w:rPr>
                <w:color w:val="auto"/>
                <w:szCs w:val="21"/>
              </w:rPr>
            </w:pPr>
            <w:r>
              <w:rPr>
                <w:color w:val="auto"/>
                <w:szCs w:val="21"/>
              </w:rPr>
              <w:t>履约保证金</w:t>
            </w:r>
          </w:p>
        </w:tc>
        <w:tc>
          <w:tcPr>
            <w:tcW w:w="7512" w:type="dxa"/>
            <w:vAlign w:val="center"/>
          </w:tcPr>
          <w:p>
            <w:pPr>
              <w:jc w:val="left"/>
              <w:rPr>
                <w:color w:val="auto"/>
                <w:szCs w:val="21"/>
              </w:rPr>
            </w:pPr>
            <w:r>
              <w:rPr>
                <w:color w:val="auto"/>
                <w:szCs w:val="21"/>
              </w:rPr>
              <w:t>本项目履</w:t>
            </w:r>
            <w:r>
              <w:rPr>
                <w:color w:val="auto"/>
                <w:szCs w:val="21"/>
              </w:rPr>
              <w:t>约保证金</w:t>
            </w:r>
            <w:r>
              <w:rPr>
                <w:color w:val="auto"/>
                <w:szCs w:val="21"/>
              </w:rPr>
              <w:sym w:font="Wingdings 2" w:char="00A3"/>
            </w:r>
            <w:r>
              <w:rPr>
                <w:color w:val="auto"/>
                <w:szCs w:val="21"/>
              </w:rPr>
              <w:t>无；</w:t>
            </w:r>
            <w:r>
              <w:rPr>
                <w:color w:val="auto"/>
                <w:szCs w:val="21"/>
              </w:rPr>
              <w:sym w:font="Wingdings 2" w:char="0052"/>
            </w:r>
            <w:r>
              <w:rPr>
                <w:color w:val="auto"/>
                <w:szCs w:val="21"/>
              </w:rPr>
              <w:t>有，履约保证金的金额：</w:t>
            </w:r>
            <w:r>
              <w:rPr>
                <w:color w:val="auto"/>
                <w:kern w:val="0"/>
                <w:szCs w:val="21"/>
                <w:u w:val="single"/>
              </w:rPr>
              <w:t xml:space="preserve"> 按合同金额的5%比例提交 </w:t>
            </w:r>
            <w:r>
              <w:rPr>
                <w:color w:val="auto"/>
                <w:szCs w:val="21"/>
              </w:rPr>
              <w:t>；</w:t>
            </w:r>
          </w:p>
          <w:p>
            <w:pPr>
              <w:jc w:val="left"/>
              <w:rPr>
                <w:color w:val="auto"/>
                <w:szCs w:val="21"/>
              </w:rPr>
            </w:pPr>
            <w:r>
              <w:rPr>
                <w:color w:val="auto"/>
                <w:szCs w:val="21"/>
              </w:rPr>
              <w:t>履约保证金的形式：供应商可以选择电汇、转账、支票、汇票、本票、保函等形式缴纳或提交。</w:t>
            </w:r>
          </w:p>
          <w:p>
            <w:pPr>
              <w:jc w:val="left"/>
              <w:rPr>
                <w:color w:val="auto"/>
                <w:szCs w:val="21"/>
              </w:rPr>
            </w:pPr>
            <w:r>
              <w:rPr>
                <w:color w:val="auto"/>
                <w:szCs w:val="21"/>
              </w:rPr>
              <w:t>保证金缴纳的账号信息：</w:t>
            </w:r>
          </w:p>
          <w:p>
            <w:pPr>
              <w:jc w:val="left"/>
              <w:rPr>
                <w:color w:val="auto"/>
                <w:szCs w:val="21"/>
              </w:rPr>
            </w:pPr>
            <w:r>
              <w:rPr>
                <w:color w:val="auto"/>
                <w:szCs w:val="21"/>
              </w:rPr>
              <w:t>开户名称：南宁师范大学；</w:t>
            </w:r>
          </w:p>
          <w:p>
            <w:pPr>
              <w:jc w:val="left"/>
              <w:rPr>
                <w:color w:val="auto"/>
                <w:szCs w:val="21"/>
              </w:rPr>
            </w:pPr>
            <w:r>
              <w:rPr>
                <w:color w:val="auto"/>
                <w:szCs w:val="21"/>
              </w:rPr>
              <w:t>开户银行：中国银行南宁市明秀东支行；</w:t>
            </w:r>
          </w:p>
          <w:p>
            <w:pPr>
              <w:jc w:val="left"/>
              <w:rPr>
                <w:color w:val="auto"/>
                <w:szCs w:val="21"/>
              </w:rPr>
            </w:pPr>
            <w:r>
              <w:rPr>
                <w:color w:val="auto"/>
                <w:szCs w:val="21"/>
              </w:rPr>
              <w:t>银行账号：6262 5749 8267；</w:t>
            </w:r>
          </w:p>
          <w:p>
            <w:pPr>
              <w:spacing w:line="300" w:lineRule="exact"/>
              <w:jc w:val="left"/>
              <w:rPr>
                <w:color w:val="auto"/>
                <w:szCs w:val="21"/>
              </w:rPr>
            </w:pPr>
            <w:r>
              <w:rPr>
                <w:color w:val="auto"/>
                <w:szCs w:val="21"/>
              </w:rPr>
              <w:t>以上账户信息如若未提供，则由采购人及中标人在合同签订前双方自行约定。履约保证金退还方式及时间、条件、不予退还的规定按第五章合同主要条款格式第九条的规定执行。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747"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exact"/>
              <w:jc w:val="left"/>
              <w:rPr>
                <w:color w:val="auto"/>
                <w:szCs w:val="21"/>
              </w:rPr>
            </w:pPr>
            <w:r>
              <w:rPr>
                <w:b/>
                <w:color w:val="auto"/>
                <w:kern w:val="0"/>
                <w:szCs w:val="21"/>
              </w:rPr>
              <w:t>五、本项目其他要求及说明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rFonts w:hint="eastAsia"/>
                <w:color w:val="auto"/>
                <w:szCs w:val="21"/>
              </w:rPr>
              <w:t>1</w:t>
            </w:r>
          </w:p>
        </w:tc>
        <w:tc>
          <w:tcPr>
            <w:tcW w:w="1701" w:type="dxa"/>
            <w:gridSpan w:val="3"/>
            <w:vAlign w:val="center"/>
          </w:tcPr>
          <w:p>
            <w:pPr>
              <w:spacing w:line="300" w:lineRule="exact"/>
              <w:jc w:val="center"/>
              <w:rPr>
                <w:color w:val="auto"/>
                <w:szCs w:val="21"/>
              </w:rPr>
            </w:pPr>
            <w:r>
              <w:rPr>
                <w:rFonts w:hint="eastAsia"/>
                <w:color w:val="auto"/>
                <w:szCs w:val="21"/>
              </w:rPr>
              <w:t>演示要求</w:t>
            </w:r>
          </w:p>
        </w:tc>
        <w:tc>
          <w:tcPr>
            <w:tcW w:w="7512" w:type="dxa"/>
            <w:vAlign w:val="center"/>
          </w:tcPr>
          <w:p>
            <w:pPr>
              <w:spacing w:line="300" w:lineRule="exact"/>
              <w:jc w:val="left"/>
              <w:rPr>
                <w:color w:val="auto"/>
                <w:szCs w:val="21"/>
              </w:rPr>
            </w:pPr>
            <w:r>
              <w:rPr>
                <w:color w:val="auto"/>
                <w:szCs w:val="21"/>
              </w:rPr>
              <w:sym w:font="Wingdings 2" w:char="F052"/>
            </w:r>
            <w:r>
              <w:rPr>
                <w:color w:val="auto"/>
                <w:szCs w:val="21"/>
              </w:rPr>
              <w:t>无要求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rFonts w:hint="eastAsia"/>
                <w:color w:val="auto"/>
                <w:szCs w:val="21"/>
              </w:rPr>
              <w:t>2</w:t>
            </w:r>
          </w:p>
        </w:tc>
        <w:tc>
          <w:tcPr>
            <w:tcW w:w="1701" w:type="dxa"/>
            <w:gridSpan w:val="3"/>
            <w:vAlign w:val="center"/>
          </w:tcPr>
          <w:p>
            <w:pPr>
              <w:spacing w:line="300" w:lineRule="exact"/>
              <w:jc w:val="center"/>
              <w:rPr>
                <w:color w:val="auto"/>
                <w:szCs w:val="21"/>
              </w:rPr>
            </w:pPr>
            <w:r>
              <w:rPr>
                <w:rFonts w:hint="eastAsia"/>
                <w:color w:val="auto"/>
                <w:szCs w:val="21"/>
              </w:rPr>
              <w:t>样品要求</w:t>
            </w:r>
          </w:p>
        </w:tc>
        <w:tc>
          <w:tcPr>
            <w:tcW w:w="7512" w:type="dxa"/>
            <w:vAlign w:val="center"/>
          </w:tcPr>
          <w:p>
            <w:pPr>
              <w:spacing w:line="300" w:lineRule="exact"/>
              <w:jc w:val="left"/>
              <w:rPr>
                <w:color w:val="auto"/>
                <w:szCs w:val="21"/>
              </w:rPr>
            </w:pPr>
            <w:r>
              <w:rPr>
                <w:color w:val="auto"/>
                <w:szCs w:val="21"/>
              </w:rPr>
              <w:sym w:font="Wingdings 2" w:char="F052"/>
            </w:r>
            <w:r>
              <w:rPr>
                <w:color w:val="auto"/>
                <w:szCs w:val="21"/>
              </w:rPr>
              <w:t>无要求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rFonts w:hint="eastAsia"/>
                <w:color w:val="auto"/>
                <w:szCs w:val="21"/>
              </w:rPr>
              <w:t>3</w:t>
            </w:r>
          </w:p>
        </w:tc>
        <w:tc>
          <w:tcPr>
            <w:tcW w:w="1701" w:type="dxa"/>
            <w:gridSpan w:val="3"/>
            <w:vAlign w:val="center"/>
          </w:tcPr>
          <w:p>
            <w:pPr>
              <w:spacing w:line="300" w:lineRule="exact"/>
              <w:jc w:val="center"/>
              <w:rPr>
                <w:color w:val="auto"/>
                <w:szCs w:val="21"/>
              </w:rPr>
            </w:pPr>
            <w:r>
              <w:rPr>
                <w:color w:val="auto"/>
                <w:szCs w:val="21"/>
              </w:rPr>
              <w:t>本项目附件</w:t>
            </w:r>
          </w:p>
        </w:tc>
        <w:tc>
          <w:tcPr>
            <w:tcW w:w="7512" w:type="dxa"/>
            <w:vAlign w:val="center"/>
          </w:tcPr>
          <w:p>
            <w:pPr>
              <w:spacing w:line="300" w:lineRule="exact"/>
              <w:jc w:val="left"/>
              <w:rPr>
                <w:color w:val="auto"/>
                <w:szCs w:val="21"/>
              </w:rPr>
            </w:pPr>
            <w:r>
              <w:rPr>
                <w:color w:val="auto"/>
                <w:szCs w:val="21"/>
              </w:rPr>
              <w:sym w:font="Wingdings 2" w:char="F052"/>
            </w:r>
            <w:r>
              <w:rPr>
                <w:color w:val="auto"/>
                <w:szCs w:val="21"/>
              </w:rPr>
              <w:t>无；</w:t>
            </w:r>
            <w:r>
              <w:rPr>
                <w:color w:val="auto"/>
                <w:szCs w:val="21"/>
              </w:rPr>
              <w:sym w:font="Wingdings 2" w:char="F0A3"/>
            </w:r>
            <w:r>
              <w:rPr>
                <w:color w:val="auto"/>
                <w:szCs w:val="21"/>
              </w:rPr>
              <w:t>有，详见</w:t>
            </w:r>
            <w:r>
              <w:rPr>
                <w:rFonts w:hint="eastAsia"/>
                <w:color w:val="auto"/>
                <w:szCs w:val="21"/>
              </w:rPr>
              <w:t>：</w:t>
            </w:r>
            <w:r>
              <w:rPr>
                <w:color w:val="auto"/>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color w:val="auto"/>
                <w:szCs w:val="21"/>
              </w:rPr>
              <w:t>4</w:t>
            </w:r>
          </w:p>
        </w:tc>
        <w:tc>
          <w:tcPr>
            <w:tcW w:w="1701" w:type="dxa"/>
            <w:gridSpan w:val="3"/>
            <w:vAlign w:val="center"/>
          </w:tcPr>
          <w:p>
            <w:pPr>
              <w:spacing w:line="300" w:lineRule="exact"/>
              <w:jc w:val="center"/>
              <w:rPr>
                <w:color w:val="auto"/>
                <w:szCs w:val="21"/>
              </w:rPr>
            </w:pPr>
            <w:r>
              <w:rPr>
                <w:color w:val="auto"/>
                <w:szCs w:val="21"/>
              </w:rPr>
              <w:t>本项目图纸</w:t>
            </w:r>
          </w:p>
        </w:tc>
        <w:tc>
          <w:tcPr>
            <w:tcW w:w="7512" w:type="dxa"/>
            <w:vAlign w:val="center"/>
          </w:tcPr>
          <w:p>
            <w:pPr>
              <w:spacing w:line="300" w:lineRule="exact"/>
              <w:jc w:val="left"/>
              <w:rPr>
                <w:color w:val="auto"/>
                <w:szCs w:val="21"/>
              </w:rPr>
            </w:pPr>
            <w:r>
              <w:rPr>
                <w:color w:val="auto"/>
                <w:szCs w:val="21"/>
              </w:rPr>
              <w:sym w:font="Wingdings 2" w:char="F052"/>
            </w:r>
            <w:r>
              <w:rPr>
                <w:color w:val="auto"/>
                <w:szCs w:val="21"/>
              </w:rPr>
              <w:t>无；</w:t>
            </w:r>
            <w:r>
              <w:rPr>
                <w:color w:val="auto"/>
                <w:szCs w:val="21"/>
              </w:rPr>
              <w:sym w:font="Wingdings 2" w:char="F0A3"/>
            </w:r>
            <w:r>
              <w:rPr>
                <w:color w:val="auto"/>
                <w:szCs w:val="21"/>
              </w:rPr>
              <w:t>有，详见</w:t>
            </w:r>
            <w:r>
              <w:rPr>
                <w:rFonts w:hint="eastAsia"/>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jc w:val="center"/>
              <w:rPr>
                <w:color w:val="auto"/>
                <w:szCs w:val="21"/>
              </w:rPr>
            </w:pPr>
            <w:r>
              <w:rPr>
                <w:color w:val="auto"/>
                <w:szCs w:val="21"/>
              </w:rPr>
              <w:t>5</w:t>
            </w:r>
          </w:p>
        </w:tc>
        <w:tc>
          <w:tcPr>
            <w:tcW w:w="1701" w:type="dxa"/>
            <w:gridSpan w:val="3"/>
            <w:vAlign w:val="center"/>
          </w:tcPr>
          <w:p>
            <w:pPr>
              <w:spacing w:line="360" w:lineRule="exact"/>
              <w:jc w:val="center"/>
              <w:rPr>
                <w:color w:val="auto"/>
                <w:szCs w:val="21"/>
              </w:rPr>
            </w:pPr>
            <w:r>
              <w:rPr>
                <w:color w:val="auto"/>
                <w:szCs w:val="21"/>
              </w:rPr>
              <w:t>其他</w:t>
            </w:r>
          </w:p>
        </w:tc>
        <w:tc>
          <w:tcPr>
            <w:tcW w:w="7512" w:type="dxa"/>
            <w:vAlign w:val="center"/>
          </w:tcPr>
          <w:p>
            <w:pPr>
              <w:spacing w:line="300" w:lineRule="exact"/>
              <w:jc w:val="left"/>
              <w:rPr>
                <w:color w:val="auto"/>
                <w:szCs w:val="21"/>
              </w:rPr>
            </w:pPr>
            <w:r>
              <w:rPr>
                <w:rFonts w:hint="eastAsia"/>
                <w:color w:val="auto"/>
                <w:szCs w:val="21"/>
              </w:rPr>
              <w:t>（1）</w:t>
            </w:r>
            <w:r>
              <w:rPr>
                <w:color w:val="auto"/>
                <w:szCs w:val="21"/>
              </w:rPr>
              <w:t>其他未尽事宜由供需双方在采购合同中详细约定。</w:t>
            </w:r>
          </w:p>
          <w:p>
            <w:pPr>
              <w:spacing w:line="300" w:lineRule="exact"/>
              <w:jc w:val="left"/>
              <w:rPr>
                <w:color w:val="auto"/>
                <w:szCs w:val="21"/>
              </w:rPr>
            </w:pPr>
            <w:r>
              <w:rPr>
                <w:rFonts w:hint="eastAsia"/>
                <w:color w:val="auto"/>
                <w:szCs w:val="21"/>
              </w:rPr>
              <w:t>（2）</w:t>
            </w:r>
            <w:r>
              <w:rPr>
                <w:color w:val="auto"/>
                <w:szCs w:val="21"/>
              </w:rPr>
              <w:t>标注“▲”的条款或要求系指实质性条款或实质性要求，必须满足，如存在负偏离将导致</w:t>
            </w:r>
            <w:r>
              <w:rPr>
                <w:rFonts w:hint="eastAsia"/>
                <w:color w:val="auto"/>
                <w:szCs w:val="21"/>
              </w:rPr>
              <w:t>投标</w:t>
            </w:r>
            <w:r>
              <w:rPr>
                <w:color w:val="auto"/>
                <w:szCs w:val="21"/>
              </w:rPr>
              <w:t>被否决。</w:t>
            </w:r>
          </w:p>
        </w:tc>
      </w:tr>
    </w:tbl>
    <w:p>
      <w:pPr>
        <w:rPr>
          <w:color w:val="auto"/>
          <w:szCs w:val="21"/>
        </w:rPr>
        <w:sectPr>
          <w:footerReference r:id="rId11" w:type="first"/>
          <w:headerReference r:id="rId9" w:type="default"/>
          <w:footerReference r:id="rId10" w:type="default"/>
          <w:pgSz w:w="11906" w:h="16838"/>
          <w:pgMar w:top="851" w:right="1133" w:bottom="1246" w:left="1418" w:header="851" w:footer="797" w:gutter="0"/>
          <w:pgNumType w:start="1"/>
          <w:cols w:space="720" w:num="1"/>
          <w:docGrid w:linePitch="312" w:charSpace="0"/>
        </w:sectPr>
      </w:pPr>
    </w:p>
    <w:bookmarkEnd w:id="11"/>
    <w:bookmarkEnd w:id="12"/>
    <w:p>
      <w:pPr>
        <w:pStyle w:val="28"/>
        <w:snapToGrid w:val="0"/>
        <w:spacing w:before="120" w:after="120" w:line="320" w:lineRule="exact"/>
        <w:jc w:val="center"/>
        <w:outlineLvl w:val="0"/>
        <w:rPr>
          <w:rFonts w:ascii="Times New Roman" w:hAnsi="Times New Roman" w:cs="Times New Roman"/>
          <w:sz w:val="32"/>
          <w:szCs w:val="32"/>
        </w:rPr>
      </w:pPr>
      <w:bookmarkStart w:id="13" w:name="_Toc25856"/>
      <w:r>
        <w:rPr>
          <w:rFonts w:hint="eastAsia" w:ascii="Times New Roman" w:hAnsi="Times New Roman" w:cs="Times New Roman"/>
          <w:sz w:val="32"/>
          <w:szCs w:val="32"/>
        </w:rPr>
        <w:t xml:space="preserve"> </w:t>
      </w:r>
      <w:r>
        <w:rPr>
          <w:rFonts w:ascii="Times New Roman" w:hAnsi="Times New Roman" w:cs="Times New Roman"/>
          <w:sz w:val="32"/>
          <w:szCs w:val="32"/>
        </w:rPr>
        <w:t>第三章  供应商须知</w:t>
      </w:r>
      <w:bookmarkEnd w:id="13"/>
      <w:bookmarkStart w:id="14" w:name="_Toc254970667"/>
      <w:bookmarkStart w:id="15" w:name="_Toc254970526"/>
    </w:p>
    <w:bookmarkEnd w:id="14"/>
    <w:bookmarkEnd w:id="15"/>
    <w:p>
      <w:bookmarkStart w:id="16" w:name="_投标人须知前附表"/>
      <w:bookmarkEnd w:id="16"/>
      <w:bookmarkStart w:id="17" w:name="_Hlk19048934"/>
    </w:p>
    <w:tbl>
      <w:tblPr>
        <w:tblStyle w:val="57"/>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277"/>
        <w:gridCol w:w="72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b/>
                <w:szCs w:val="21"/>
              </w:rPr>
              <w:t>条款号</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b/>
                <w:szCs w:val="21"/>
              </w:rPr>
              <w:t>要点</w:t>
            </w:r>
          </w:p>
        </w:tc>
        <w:tc>
          <w:tcPr>
            <w:tcW w:w="7228"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b/>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rFonts w:hint="eastAsia"/>
                <w:b/>
                <w:szCs w:val="21"/>
              </w:rPr>
              <w:t>1</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szCs w:val="21"/>
              </w:rPr>
              <w:t>项目基本信息</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eastAsia="宋体"/>
                <w:color w:val="auto"/>
                <w:szCs w:val="21"/>
                <w:lang w:eastAsia="zh-CN"/>
              </w:rPr>
            </w:pPr>
            <w:r>
              <w:rPr>
                <w:color w:val="auto"/>
                <w:szCs w:val="21"/>
              </w:rPr>
              <w:t>项目名称：</w:t>
            </w:r>
            <w:r>
              <w:rPr>
                <w:rFonts w:hint="eastAsia"/>
                <w:color w:val="auto"/>
                <w:szCs w:val="21"/>
                <w:lang w:eastAsia="zh-CN"/>
              </w:rPr>
              <w:t>南宁师范大学国家教育考试标准化考点建设项目</w:t>
            </w:r>
          </w:p>
          <w:p>
            <w:pPr>
              <w:spacing w:line="300" w:lineRule="exact"/>
              <w:jc w:val="left"/>
              <w:rPr>
                <w:rFonts w:hint="eastAsia" w:eastAsia="宋体"/>
                <w:color w:val="auto"/>
                <w:szCs w:val="21"/>
                <w:lang w:eastAsia="zh-CN"/>
              </w:rPr>
            </w:pPr>
            <w:r>
              <w:rPr>
                <w:color w:val="auto"/>
                <w:szCs w:val="21"/>
              </w:rPr>
              <w:t>项目编号：</w:t>
            </w:r>
            <w:r>
              <w:rPr>
                <w:rFonts w:hint="eastAsia"/>
                <w:color w:val="auto"/>
                <w:szCs w:val="21"/>
                <w:lang w:eastAsia="zh-CN"/>
              </w:rPr>
              <w:t>GXZC2020-G1-002829-JDZB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rFonts w:hint="eastAsia"/>
                <w:b/>
                <w:szCs w:val="21"/>
              </w:rPr>
              <w:t>2</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lang w:val="zh-CN"/>
              </w:rPr>
            </w:pPr>
            <w:r>
              <w:rPr>
                <w:rFonts w:hint="eastAsia"/>
                <w:szCs w:val="21"/>
                <w:lang w:val="zh-CN"/>
              </w:rPr>
              <w:t>采购方式</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auto"/>
                <w:szCs w:val="21"/>
              </w:rPr>
            </w:pPr>
            <w:r>
              <w:rPr>
                <w:rFonts w:hint="eastAsia"/>
                <w:color w:val="auto"/>
                <w:szCs w:val="21"/>
              </w:rPr>
              <w:t>本项目采购方式为公开招标，采用全流程电子交易系统即通过精彩纵横电子交易平台(</w:t>
            </w:r>
            <w:r>
              <w:rPr>
                <w:color w:val="auto"/>
              </w:rPr>
              <w:fldChar w:fldCharType="begin"/>
            </w:r>
            <w:r>
              <w:rPr>
                <w:color w:val="auto"/>
              </w:rPr>
              <w:instrText xml:space="preserve"> HYPERLINK "http://www.jczh100.com" </w:instrText>
            </w:r>
            <w:r>
              <w:rPr>
                <w:color w:val="auto"/>
              </w:rPr>
              <w:fldChar w:fldCharType="separate"/>
            </w:r>
            <w:r>
              <w:rPr>
                <w:rFonts w:hint="eastAsia"/>
                <w:color w:val="auto"/>
                <w:szCs w:val="21"/>
              </w:rPr>
              <w:t>www.jczh100.com</w:t>
            </w:r>
            <w:r>
              <w:rPr>
                <w:rFonts w:hint="eastAsia"/>
                <w:color w:val="auto"/>
                <w:szCs w:val="21"/>
              </w:rPr>
              <w:fldChar w:fldCharType="end"/>
            </w:r>
            <w:r>
              <w:rPr>
                <w:rFonts w:hint="eastAsia"/>
                <w:color w:val="auto"/>
                <w:szCs w:val="21"/>
              </w:rPr>
              <w:t>)</w:t>
            </w:r>
            <w:r>
              <w:rPr>
                <w:color w:val="auto"/>
                <w:szCs w:val="21"/>
              </w:rPr>
              <w:t>(</w:t>
            </w:r>
            <w:r>
              <w:rPr>
                <w:rFonts w:hint="eastAsia"/>
                <w:color w:val="auto"/>
                <w:szCs w:val="21"/>
              </w:rPr>
              <w:t>以下简称电子交易平台)开展如下业务：</w:t>
            </w:r>
          </w:p>
          <w:p>
            <w:pPr>
              <w:spacing w:line="300" w:lineRule="exact"/>
              <w:jc w:val="left"/>
              <w:rPr>
                <w:rFonts w:hint="eastAsia" w:eastAsia="宋体"/>
                <w:color w:val="auto"/>
                <w:szCs w:val="21"/>
                <w:lang w:eastAsia="zh-CN"/>
              </w:rPr>
            </w:pPr>
            <w:r>
              <w:rPr>
                <w:rFonts w:hint="eastAsia"/>
                <w:color w:val="auto"/>
                <w:szCs w:val="21"/>
              </w:rPr>
              <w:t>招标文件下载、招标文件提问或质疑、招标文件澄清及修改、中标公告及中标通知书发布</w:t>
            </w:r>
            <w:r>
              <w:rPr>
                <w:rFonts w:hint="eastAsia"/>
                <w:color w:val="auto"/>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3</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szCs w:val="21"/>
                <w:lang w:val="zh-CN"/>
              </w:rPr>
              <w:t>供应商资格条件</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auto"/>
                <w:szCs w:val="21"/>
              </w:rPr>
            </w:pPr>
            <w:r>
              <w:rPr>
                <w:rFonts w:hint="eastAsia"/>
                <w:color w:val="auto"/>
                <w:szCs w:val="21"/>
              </w:rPr>
              <w:t>详</w:t>
            </w:r>
            <w:r>
              <w:rPr>
                <w:color w:val="auto"/>
                <w:szCs w:val="21"/>
              </w:rPr>
              <w:t>见招标公告</w:t>
            </w: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4</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szCs w:val="21"/>
              </w:rPr>
              <w:t>现场踏勘</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auto"/>
                <w:szCs w:val="21"/>
                <w:u w:val="single"/>
              </w:rPr>
            </w:pPr>
            <w:r>
              <w:rPr>
                <w:rFonts w:hint="eastAsia"/>
                <w:color w:val="auto"/>
                <w:szCs w:val="21"/>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5</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szCs w:val="21"/>
              </w:rPr>
              <w:t>转包</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auto"/>
                <w:szCs w:val="21"/>
              </w:rPr>
            </w:pPr>
            <w:r>
              <w:rPr>
                <w:color w:val="auto"/>
                <w:szCs w:val="21"/>
              </w:rPr>
              <w:t>本项目不允许转包</w:t>
            </w: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6</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szCs w:val="21"/>
              </w:rPr>
              <w:t>分包</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auto"/>
                <w:szCs w:val="21"/>
              </w:rPr>
            </w:pPr>
            <w:r>
              <w:rPr>
                <w:color w:val="auto"/>
                <w:szCs w:val="21"/>
              </w:rPr>
              <w:t>本项目不允许分包</w:t>
            </w: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7</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szCs w:val="21"/>
              </w:rPr>
              <w:t>招标文件澄清、修改</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auto"/>
                <w:szCs w:val="21"/>
              </w:rPr>
            </w:pPr>
            <w:r>
              <w:rPr>
                <w:color w:val="auto"/>
                <w:szCs w:val="21"/>
              </w:rPr>
              <w:t>招标文件澄清、答复、修改、补充的内容为招标文件的组成部分。当招标文件与招标文件的答复、澄清、修改、补充通知就同一内容的表述不一致时，以最后</w:t>
            </w:r>
            <w:r>
              <w:rPr>
                <w:rFonts w:hint="eastAsia"/>
                <w:color w:val="auto"/>
                <w:szCs w:val="21"/>
              </w:rPr>
              <w:t>发出的</w:t>
            </w:r>
            <w:r>
              <w:rPr>
                <w:color w:val="auto"/>
                <w:szCs w:val="21"/>
              </w:rPr>
              <w:t>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5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8</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szCs w:val="21"/>
              </w:rPr>
              <w:t>确认收到澄清、修改发布的方式</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澄清、修改文件在</w:t>
            </w:r>
            <w:r>
              <w:rPr>
                <w:rFonts w:hint="eastAsia"/>
                <w:szCs w:val="21"/>
              </w:rPr>
              <w:t>电子交易平台或招标</w:t>
            </w:r>
            <w:r>
              <w:rPr>
                <w:szCs w:val="21"/>
              </w:rPr>
              <w:t>公告发布媒</w:t>
            </w:r>
            <w:r>
              <w:rPr>
                <w:rFonts w:hint="eastAsia"/>
                <w:szCs w:val="21"/>
              </w:rPr>
              <w:t>体</w:t>
            </w:r>
            <w:r>
              <w:rPr>
                <w:szCs w:val="21"/>
              </w:rPr>
              <w:t>发布之日起，视为供应商已收到该澄清、修改。供应商未及时关注</w:t>
            </w:r>
            <w:r>
              <w:rPr>
                <w:rFonts w:hint="eastAsia"/>
                <w:szCs w:val="21"/>
              </w:rPr>
              <w:t>电子交易平台或招标</w:t>
            </w:r>
            <w:r>
              <w:rPr>
                <w:szCs w:val="21"/>
              </w:rPr>
              <w:t>公告发布媒</w:t>
            </w:r>
            <w:r>
              <w:rPr>
                <w:rFonts w:hint="eastAsia"/>
                <w:szCs w:val="21"/>
              </w:rPr>
              <w:t>体</w:t>
            </w:r>
            <w:r>
              <w:rPr>
                <w:szCs w:val="21"/>
              </w:rPr>
              <w:t>造成的损失，由供应商自行负责。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9</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szCs w:val="21"/>
              </w:rPr>
              <w:t>投标有效期</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投标截止之</w:t>
            </w:r>
            <w:r>
              <w:rPr>
                <w:color w:val="auto"/>
                <w:szCs w:val="21"/>
              </w:rPr>
              <w:t>日起120天。投标有效期不足的投标文件将被否决。在特殊情况下，采购人可与供应商协商延长投标文件</w:t>
            </w:r>
            <w:r>
              <w:rPr>
                <w:szCs w:val="21"/>
              </w:rPr>
              <w:t>的有效期，这种要求和答复均以书面形式进行。供应商可拒绝接受延期要求而不会导致投标保证金被没收。同意延长有效期的供应商需要相应延长投标保证金的有效期，但不能修改投标文件。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10</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szCs w:val="21"/>
              </w:rPr>
              <w:t>投标保证金</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color w:val="4472C4"/>
                <w:szCs w:val="21"/>
              </w:rPr>
            </w:pPr>
            <w:r>
              <w:rPr>
                <w:szCs w:val="21"/>
              </w:rPr>
              <w:t>投标保证</w:t>
            </w:r>
            <w:r>
              <w:rPr>
                <w:rFonts w:hint="eastAsia"/>
                <w:szCs w:val="21"/>
              </w:rPr>
              <w:t>金金额：</w:t>
            </w:r>
            <w:r>
              <w:rPr>
                <w:rFonts w:hint="eastAsia"/>
                <w:b/>
                <w:bCs/>
                <w:szCs w:val="21"/>
              </w:rPr>
              <w:t>人民币肆万元整（</w:t>
            </w:r>
            <w:r>
              <w:rPr>
                <w:b/>
                <w:bCs/>
                <w:szCs w:val="21"/>
              </w:rPr>
              <w:t>¥</w:t>
            </w:r>
            <w:r>
              <w:rPr>
                <w:rFonts w:hint="eastAsia"/>
                <w:b/>
                <w:bCs/>
                <w:szCs w:val="21"/>
              </w:rPr>
              <w:t>40,000.00）。</w:t>
            </w:r>
          </w:p>
          <w:p>
            <w:pPr>
              <w:spacing w:line="300" w:lineRule="exact"/>
              <w:jc w:val="left"/>
              <w:rPr>
                <w:szCs w:val="21"/>
              </w:rPr>
            </w:pPr>
            <w:r>
              <w:rPr>
                <w:rFonts w:hint="eastAsia"/>
                <w:szCs w:val="21"/>
              </w:rPr>
              <w:t>（1）缴纳方式一：</w:t>
            </w:r>
          </w:p>
          <w:p>
            <w:pPr>
              <w:spacing w:line="300" w:lineRule="exact"/>
              <w:jc w:val="left"/>
              <w:rPr>
                <w:szCs w:val="21"/>
              </w:rPr>
            </w:pPr>
            <w:r>
              <w:rPr>
                <w:rFonts w:hint="eastAsia" w:ascii="宋体" w:hAnsi="宋体"/>
                <w:szCs w:val="21"/>
              </w:rPr>
              <w:t>①</w:t>
            </w:r>
            <w:r>
              <w:rPr>
                <w:szCs w:val="21"/>
              </w:rPr>
              <w:t>供应商应于</w:t>
            </w:r>
            <w:r>
              <w:rPr>
                <w:rFonts w:hint="eastAsia"/>
                <w:szCs w:val="21"/>
              </w:rPr>
              <w:t>投标截止</w:t>
            </w:r>
            <w:r>
              <w:rPr>
                <w:szCs w:val="21"/>
              </w:rPr>
              <w:t>时间前将投标保证金以电汇、转账形式从供应商账户一次性足额</w:t>
            </w:r>
            <w:r>
              <w:rPr>
                <w:rFonts w:hint="eastAsia"/>
                <w:szCs w:val="21"/>
              </w:rPr>
              <w:t>缴</w:t>
            </w:r>
            <w:r>
              <w:rPr>
                <w:szCs w:val="21"/>
              </w:rPr>
              <w:t>纳至本项目对应的专用虚拟账号，所交纳的投标保证金仅限当次项目有效，不得重复替代使用。本项目投标保证金</w:t>
            </w:r>
            <w:r>
              <w:rPr>
                <w:rFonts w:hint="eastAsia"/>
                <w:szCs w:val="21"/>
              </w:rPr>
              <w:t>缴</w:t>
            </w:r>
            <w:r>
              <w:rPr>
                <w:szCs w:val="21"/>
              </w:rPr>
              <w:t>纳专用虚拟账号信息如下</w:t>
            </w:r>
            <w:r>
              <w:rPr>
                <w:rFonts w:hint="eastAsia"/>
                <w:szCs w:val="21"/>
              </w:rPr>
              <w:t>，以下银行任选其一即可。</w:t>
            </w:r>
          </w:p>
          <w:p>
            <w:pPr>
              <w:spacing w:line="300" w:lineRule="exact"/>
              <w:ind w:firstLine="422" w:firstLineChars="200"/>
              <w:jc w:val="left"/>
              <w:rPr>
                <w:rFonts w:hint="eastAsia"/>
                <w:b/>
                <w:bCs/>
                <w:szCs w:val="21"/>
              </w:rPr>
            </w:pPr>
            <w:r>
              <w:rPr>
                <w:rFonts w:hint="eastAsia"/>
                <w:b/>
                <w:bCs/>
                <w:szCs w:val="21"/>
              </w:rPr>
              <w:t>开户名称：广西机电设备招标有限公司</w:t>
            </w:r>
          </w:p>
          <w:p>
            <w:pPr>
              <w:spacing w:line="300" w:lineRule="exact"/>
              <w:ind w:firstLine="422" w:firstLineChars="200"/>
              <w:jc w:val="left"/>
              <w:rPr>
                <w:b/>
                <w:bCs/>
                <w:szCs w:val="21"/>
              </w:rPr>
            </w:pPr>
            <w:r>
              <w:rPr>
                <w:rFonts w:hint="eastAsia"/>
                <w:b/>
                <w:bCs/>
                <w:szCs w:val="21"/>
              </w:rPr>
              <w:t>开户银行①：</w:t>
            </w:r>
            <w:r>
              <w:rPr>
                <w:b/>
                <w:bCs/>
              </w:rPr>
              <w:t>中国交通银行南宁金湖支行</w:t>
            </w:r>
          </w:p>
          <w:p>
            <w:pPr>
              <w:spacing w:line="300" w:lineRule="exact"/>
              <w:ind w:firstLine="422" w:firstLineChars="200"/>
              <w:jc w:val="left"/>
              <w:rPr>
                <w:rFonts w:hint="eastAsia"/>
                <w:b/>
                <w:bCs/>
                <w:szCs w:val="21"/>
              </w:rPr>
            </w:pPr>
            <w:r>
              <w:rPr>
                <w:rFonts w:hint="eastAsia"/>
                <w:b/>
                <w:bCs/>
                <w:szCs w:val="21"/>
              </w:rPr>
              <w:t>银行账号：4510601600956790009770；</w:t>
            </w:r>
          </w:p>
          <w:p>
            <w:pPr>
              <w:spacing w:line="300" w:lineRule="exact"/>
              <w:ind w:firstLine="422" w:firstLineChars="200"/>
              <w:jc w:val="left"/>
              <w:rPr>
                <w:b/>
                <w:bCs/>
                <w:szCs w:val="21"/>
              </w:rPr>
            </w:pPr>
            <w:r>
              <w:rPr>
                <w:rFonts w:hint="eastAsia"/>
                <w:b/>
                <w:bCs/>
                <w:szCs w:val="21"/>
              </w:rPr>
              <w:t>开户银行②：</w:t>
            </w:r>
            <w:r>
              <w:rPr>
                <w:b/>
                <w:bCs/>
              </w:rPr>
              <w:t>招商银行股份有限公司南宁分行营业部</w:t>
            </w:r>
          </w:p>
          <w:p>
            <w:pPr>
              <w:spacing w:line="300" w:lineRule="exact"/>
              <w:ind w:firstLine="422" w:firstLineChars="200"/>
              <w:jc w:val="left"/>
              <w:rPr>
                <w:rFonts w:hint="eastAsia"/>
                <w:b/>
                <w:bCs/>
                <w:szCs w:val="21"/>
              </w:rPr>
            </w:pPr>
            <w:r>
              <w:rPr>
                <w:rFonts w:hint="eastAsia"/>
                <w:b/>
                <w:bCs/>
                <w:szCs w:val="21"/>
              </w:rPr>
              <w:t>银行账号：7719017407108020000228；</w:t>
            </w:r>
          </w:p>
          <w:p>
            <w:pPr>
              <w:spacing w:line="300" w:lineRule="exact"/>
              <w:jc w:val="left"/>
              <w:rPr>
                <w:szCs w:val="21"/>
              </w:rPr>
            </w:pPr>
            <w:r>
              <w:rPr>
                <w:szCs w:val="21"/>
              </w:rPr>
              <w:t>特别说明：本项目保证金采用虚拟账号，为保证投标保证金与项目一一对应，供应商如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投标</w:t>
            </w:r>
            <w:r>
              <w:rPr>
                <w:szCs w:val="21"/>
              </w:rPr>
              <w:t>，应按各</w:t>
            </w:r>
            <w:r>
              <w:rPr>
                <w:rFonts w:hint="eastAsia"/>
                <w:szCs w:val="21"/>
              </w:rPr>
              <w:t>分标</w:t>
            </w:r>
            <w:r>
              <w:rPr>
                <w:szCs w:val="21"/>
              </w:rPr>
              <w:t>对应的专用虚拟账号分别</w:t>
            </w:r>
            <w:r>
              <w:rPr>
                <w:rFonts w:hint="eastAsia"/>
                <w:szCs w:val="21"/>
              </w:rPr>
              <w:t>缴纳</w:t>
            </w:r>
            <w:r>
              <w:rPr>
                <w:szCs w:val="21"/>
              </w:rPr>
              <w:t>投标保证金。</w:t>
            </w:r>
          </w:p>
          <w:p>
            <w:pPr>
              <w:spacing w:line="300" w:lineRule="exact"/>
              <w:jc w:val="left"/>
              <w:rPr>
                <w:szCs w:val="21"/>
              </w:rPr>
            </w:pPr>
            <w:r>
              <w:rPr>
                <w:rFonts w:hint="eastAsia" w:ascii="宋体" w:hAnsi="宋体"/>
                <w:szCs w:val="21"/>
              </w:rPr>
              <w:t>②</w:t>
            </w:r>
            <w:r>
              <w:rPr>
                <w:szCs w:val="21"/>
              </w:rPr>
              <w:t>投标保证金币种应与投标报价币种相同。</w:t>
            </w:r>
            <w:r>
              <w:rPr>
                <w:rFonts w:hint="eastAsia"/>
                <w:szCs w:val="21"/>
              </w:rPr>
              <w:t>投标</w:t>
            </w:r>
            <w:r>
              <w:rPr>
                <w:szCs w:val="21"/>
              </w:rPr>
              <w:t>保证金</w:t>
            </w:r>
            <w:r>
              <w:rPr>
                <w:rFonts w:hint="eastAsia"/>
                <w:szCs w:val="21"/>
              </w:rPr>
              <w:t>缴纳</w:t>
            </w:r>
            <w:r>
              <w:rPr>
                <w:szCs w:val="21"/>
              </w:rPr>
              <w:t>后无需开具收据，但必须在</w:t>
            </w:r>
            <w:r>
              <w:rPr>
                <w:rFonts w:hint="eastAsia"/>
                <w:szCs w:val="21"/>
              </w:rPr>
              <w:t>投标</w:t>
            </w:r>
            <w:r>
              <w:rPr>
                <w:szCs w:val="21"/>
              </w:rPr>
              <w:t>截</w:t>
            </w:r>
            <w:r>
              <w:rPr>
                <w:rFonts w:hint="eastAsia"/>
                <w:szCs w:val="21"/>
              </w:rPr>
              <w:t>止</w:t>
            </w:r>
            <w:r>
              <w:rPr>
                <w:szCs w:val="21"/>
              </w:rPr>
              <w:t>时间之前到达指定账号，其到账时间以银行确认的到账时间为准。</w:t>
            </w:r>
          </w:p>
          <w:p>
            <w:pPr>
              <w:spacing w:line="300" w:lineRule="exact"/>
              <w:jc w:val="left"/>
              <w:rPr>
                <w:szCs w:val="21"/>
              </w:rPr>
            </w:pPr>
            <w:r>
              <w:rPr>
                <w:rFonts w:hint="eastAsia" w:ascii="宋体" w:hAnsi="宋体"/>
                <w:szCs w:val="21"/>
              </w:rPr>
              <w:t>③</w:t>
            </w:r>
            <w:r>
              <w:rPr>
                <w:szCs w:val="21"/>
              </w:rPr>
              <w:t>除</w:t>
            </w:r>
            <w:r>
              <w:rPr>
                <w:rFonts w:hint="eastAsia"/>
                <w:szCs w:val="21"/>
              </w:rPr>
              <w:t>招标文件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自行承担</w:t>
            </w:r>
            <w:r>
              <w:rPr>
                <w:rFonts w:hint="eastAsia"/>
                <w:szCs w:val="21"/>
              </w:rPr>
              <w:t>交纳保证金后未参加投标活动或投标保证金缴纳错误而</w:t>
            </w:r>
            <w:r>
              <w:rPr>
                <w:szCs w:val="21"/>
              </w:rPr>
              <w:t>导致</w:t>
            </w:r>
            <w:r>
              <w:rPr>
                <w:rFonts w:hint="eastAsia"/>
                <w:szCs w:val="21"/>
              </w:rPr>
              <w:t>投标</w:t>
            </w:r>
            <w:r>
              <w:rPr>
                <w:szCs w:val="21"/>
              </w:rPr>
              <w:t>保证金无法及时退还的责任</w:t>
            </w:r>
            <w:r>
              <w:rPr>
                <w:rFonts w:hint="eastAsia"/>
                <w:szCs w:val="21"/>
              </w:rPr>
              <w:t>。</w:t>
            </w:r>
          </w:p>
          <w:p>
            <w:pPr>
              <w:spacing w:line="300" w:lineRule="exact"/>
              <w:jc w:val="left"/>
              <w:rPr>
                <w:szCs w:val="21"/>
              </w:rPr>
            </w:pPr>
            <w:r>
              <w:rPr>
                <w:rFonts w:hint="eastAsia"/>
                <w:szCs w:val="21"/>
              </w:rPr>
              <w:t>（2）缴纳方式二：</w:t>
            </w:r>
          </w:p>
          <w:p>
            <w:pPr>
              <w:spacing w:line="300" w:lineRule="exact"/>
              <w:jc w:val="left"/>
              <w:rPr>
                <w:szCs w:val="21"/>
              </w:rPr>
            </w:pPr>
            <w:r>
              <w:rPr>
                <w:rFonts w:hint="eastAsia" w:ascii="宋体" w:hAnsi="宋体"/>
                <w:szCs w:val="21"/>
              </w:rPr>
              <w:t>①</w:t>
            </w:r>
            <w:r>
              <w:rPr>
                <w:szCs w:val="21"/>
              </w:rPr>
              <w:t>供应商</w:t>
            </w:r>
            <w:r>
              <w:rPr>
                <w:rFonts w:hint="eastAsia"/>
                <w:szCs w:val="21"/>
              </w:rPr>
              <w:t>可</w:t>
            </w:r>
            <w:r>
              <w:rPr>
                <w:szCs w:val="21"/>
              </w:rPr>
              <w:t>于</w:t>
            </w:r>
            <w:r>
              <w:rPr>
                <w:rFonts w:hint="eastAsia"/>
                <w:szCs w:val="21"/>
              </w:rPr>
              <w:t>投标截止</w:t>
            </w:r>
            <w:r>
              <w:rPr>
                <w:szCs w:val="21"/>
              </w:rPr>
              <w:t>时间前</w:t>
            </w:r>
            <w:r>
              <w:rPr>
                <w:rFonts w:hint="eastAsia"/>
                <w:szCs w:val="21"/>
              </w:rPr>
              <w:t>选择其他非现金形式缴纳投标</w:t>
            </w:r>
            <w:r>
              <w:rPr>
                <w:szCs w:val="21"/>
              </w:rPr>
              <w:t>保证金</w:t>
            </w:r>
            <w:r>
              <w:rPr>
                <w:rFonts w:hint="eastAsia"/>
                <w:szCs w:val="21"/>
              </w:rPr>
              <w:t>。非现金形式的保证金申请人应为参加投标的供应商，收款人为广西机电设备招标有限公司。</w:t>
            </w:r>
          </w:p>
          <w:p>
            <w:pPr>
              <w:spacing w:line="300" w:lineRule="exact"/>
              <w:jc w:val="left"/>
              <w:rPr>
                <w:szCs w:val="21"/>
              </w:rPr>
            </w:pPr>
            <w:r>
              <w:rPr>
                <w:rFonts w:hint="eastAsia" w:ascii="宋体" w:hAnsi="宋体"/>
                <w:szCs w:val="21"/>
              </w:rPr>
              <w:t>②</w:t>
            </w:r>
            <w:r>
              <w:rPr>
                <w:rFonts w:hint="eastAsia"/>
                <w:szCs w:val="21"/>
              </w:rPr>
              <w:t>非现金形式的投标保证金应写明接收人（受益人）名称、</w:t>
            </w:r>
            <w:r>
              <w:t>项目名称及</w:t>
            </w:r>
            <w:r>
              <w:rPr>
                <w:rFonts w:hint="eastAsia"/>
              </w:rPr>
              <w:t>项目</w:t>
            </w:r>
            <w:r>
              <w:t>编号、保证金额</w:t>
            </w:r>
            <w:r>
              <w:rPr>
                <w:rFonts w:hint="eastAsia"/>
              </w:rPr>
              <w:t>以及</w:t>
            </w:r>
            <w:r>
              <w:t>有效期</w:t>
            </w:r>
            <w:r>
              <w:rPr>
                <w:rFonts w:hint="eastAsia"/>
              </w:rPr>
              <w:t>，且</w:t>
            </w:r>
            <w:r>
              <w:rPr>
                <w:rFonts w:hint="eastAsia"/>
                <w:szCs w:val="21"/>
              </w:rPr>
              <w:t>应在投标截止时间前与投标文件一起以原件方式邮寄递交。保证金原件单独放入一个密封袋中，并在封口处加盖供应商公章或被授权人签字，在封套上标记“项目名称（项目编号）投标保证金”字样。</w:t>
            </w:r>
          </w:p>
          <w:p>
            <w:pPr>
              <w:spacing w:line="300" w:lineRule="exact"/>
              <w:jc w:val="left"/>
              <w:rPr>
                <w:szCs w:val="21"/>
              </w:rPr>
            </w:pPr>
            <w:r>
              <w:rPr>
                <w:rFonts w:hint="eastAsia" w:ascii="宋体" w:hAnsi="宋体"/>
                <w:szCs w:val="21"/>
              </w:rPr>
              <w:t>③</w:t>
            </w:r>
            <w:r>
              <w:rPr>
                <w:rFonts w:hint="eastAsia"/>
                <w:szCs w:val="21"/>
              </w:rPr>
              <w:t>非现金形式的保证金存在经银行证明无效、背书、有条件支付或有效期低于投标有效期的情况，视为无效投标保证金。</w:t>
            </w:r>
          </w:p>
          <w:p>
            <w:pPr>
              <w:spacing w:line="300" w:lineRule="exact"/>
              <w:jc w:val="left"/>
              <w:rPr>
                <w:szCs w:val="21"/>
              </w:rPr>
            </w:pPr>
            <w:r>
              <w:rPr>
                <w:rFonts w:hint="eastAsia" w:ascii="宋体" w:hAnsi="宋体"/>
                <w:szCs w:val="21"/>
              </w:rPr>
              <w:t>④</w:t>
            </w:r>
            <w:r>
              <w:rPr>
                <w:szCs w:val="21"/>
              </w:rPr>
              <w:t>除</w:t>
            </w:r>
            <w:r>
              <w:rPr>
                <w:rFonts w:hint="eastAsia"/>
                <w:szCs w:val="21"/>
              </w:rPr>
              <w:t>招标文件</w:t>
            </w:r>
            <w:r>
              <w:rPr>
                <w:szCs w:val="21"/>
              </w:rPr>
              <w:t>规定不予退还保证金的情形外，采购代理机构</w:t>
            </w:r>
            <w:r>
              <w:rPr>
                <w:rFonts w:hint="eastAsia"/>
                <w:szCs w:val="21"/>
              </w:rPr>
              <w:t>在法定时间内以原件或转账、电汇形式退还保证金。原件退还采用邮寄方式，供应商须在第五章“投标保证金退还申请”中提供邮寄地址及联系方式，代理机构按邮寄地址寄回。</w:t>
            </w:r>
          </w:p>
          <w:p>
            <w:pPr>
              <w:spacing w:line="300" w:lineRule="exact"/>
              <w:jc w:val="left"/>
              <w:rPr>
                <w:szCs w:val="21"/>
              </w:rPr>
            </w:pPr>
            <w:r>
              <w:rPr>
                <w:rFonts w:hint="eastAsia"/>
                <w:szCs w:val="21"/>
              </w:rPr>
              <w:t>（3）</w:t>
            </w:r>
            <w:r>
              <w:rPr>
                <w:szCs w:val="21"/>
              </w:rPr>
              <w:t>财务部联系电话：0771-2821398</w:t>
            </w:r>
          </w:p>
          <w:p>
            <w:pPr>
              <w:spacing w:line="300" w:lineRule="exact"/>
              <w:jc w:val="left"/>
              <w:rPr>
                <w:szCs w:val="21"/>
              </w:rPr>
            </w:pPr>
            <w:r>
              <w:rPr>
                <w:rFonts w:hint="eastAsia"/>
                <w:szCs w:val="21"/>
              </w:rPr>
              <w:t>（4）</w:t>
            </w:r>
            <w:r>
              <w:rPr>
                <w:szCs w:val="21"/>
              </w:rPr>
              <w:t>未按</w:t>
            </w:r>
            <w:r>
              <w:rPr>
                <w:rFonts w:hint="eastAsia"/>
                <w:szCs w:val="21"/>
              </w:rPr>
              <w:t>以上</w:t>
            </w:r>
            <w:r>
              <w:rPr>
                <w:szCs w:val="21"/>
              </w:rPr>
              <w:t>要求</w:t>
            </w:r>
            <w:r>
              <w:rPr>
                <w:rFonts w:hint="eastAsia"/>
                <w:szCs w:val="21"/>
              </w:rPr>
              <w:t>缴</w:t>
            </w:r>
            <w:r>
              <w:rPr>
                <w:szCs w:val="21"/>
              </w:rPr>
              <w:t>纳</w:t>
            </w:r>
            <w:r>
              <w:rPr>
                <w:rFonts w:hint="eastAsia"/>
                <w:szCs w:val="21"/>
              </w:rPr>
              <w:t>投标</w:t>
            </w:r>
            <w:r>
              <w:rPr>
                <w:szCs w:val="21"/>
              </w:rPr>
              <w:t>保证金的</w:t>
            </w:r>
            <w:r>
              <w:rPr>
                <w:rFonts w:hint="eastAsia"/>
                <w:szCs w:val="21"/>
              </w:rPr>
              <w:t>投标</w:t>
            </w:r>
            <w:r>
              <w:rPr>
                <w:szCs w:val="21"/>
              </w:rPr>
              <w:t>文件，将作无效投标文件处理。</w:t>
            </w:r>
          </w:p>
          <w:p>
            <w:pPr>
              <w:spacing w:line="300" w:lineRule="exact"/>
              <w:jc w:val="left"/>
              <w:rPr>
                <w:b/>
                <w:bCs/>
                <w:szCs w:val="21"/>
              </w:rPr>
            </w:pPr>
            <w:r>
              <w:rPr>
                <w:rFonts w:hint="eastAsia"/>
                <w:b/>
                <w:bCs/>
                <w:szCs w:val="21"/>
              </w:rPr>
              <w:t>注：为保证投标保证金退还的及时性与便利性，鼓励优先采用方式一递交投标保证金。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11</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szCs w:val="21"/>
              </w:rPr>
              <w:t>不予退还投标保证金的情形</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供应商有下列情形之一的，投标保证金将不予退还：</w:t>
            </w:r>
          </w:p>
          <w:p>
            <w:pPr>
              <w:spacing w:line="300" w:lineRule="exact"/>
              <w:jc w:val="left"/>
              <w:rPr>
                <w:szCs w:val="21"/>
              </w:rPr>
            </w:pPr>
            <w:r>
              <w:rPr>
                <w:rFonts w:hint="eastAsia"/>
                <w:szCs w:val="21"/>
              </w:rPr>
              <w:t>（1）</w:t>
            </w:r>
            <w:r>
              <w:rPr>
                <w:szCs w:val="21"/>
              </w:rPr>
              <w:t>供应商在投标有效期内撤销投标文件的；</w:t>
            </w:r>
          </w:p>
          <w:p>
            <w:pPr>
              <w:spacing w:line="300" w:lineRule="exact"/>
              <w:jc w:val="left"/>
              <w:rPr>
                <w:szCs w:val="21"/>
              </w:rPr>
            </w:pPr>
            <w:r>
              <w:rPr>
                <w:rFonts w:hint="eastAsia"/>
                <w:szCs w:val="21"/>
              </w:rPr>
              <w:t>（2）</w:t>
            </w:r>
            <w:r>
              <w:rPr>
                <w:szCs w:val="21"/>
              </w:rPr>
              <w:t>供应商在投标过程中弄虚作假，提供虚假材料的；</w:t>
            </w:r>
          </w:p>
          <w:p>
            <w:pPr>
              <w:spacing w:line="300" w:lineRule="exact"/>
              <w:jc w:val="left"/>
              <w:rPr>
                <w:szCs w:val="21"/>
              </w:rPr>
            </w:pPr>
            <w:r>
              <w:rPr>
                <w:rFonts w:hint="eastAsia"/>
                <w:szCs w:val="21"/>
              </w:rPr>
              <w:t>（3）</w:t>
            </w:r>
            <w:r>
              <w:rPr>
                <w:szCs w:val="21"/>
              </w:rPr>
              <w:t>中标人无正当理由不与采购人签订合同的</w:t>
            </w:r>
            <w:r>
              <w:rPr>
                <w:rFonts w:hint="eastAsia"/>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3" w:hRule="atLeast"/>
        </w:trPr>
        <w:tc>
          <w:tcPr>
            <w:tcW w:w="709" w:type="dxa"/>
            <w:vMerge w:val="restart"/>
            <w:tcBorders>
              <w:top w:val="single" w:color="auto" w:sz="4" w:space="0"/>
              <w:left w:val="single" w:color="auto" w:sz="4" w:space="0"/>
              <w:right w:val="single" w:color="auto" w:sz="4" w:space="0"/>
            </w:tcBorders>
            <w:vAlign w:val="center"/>
          </w:tcPr>
          <w:p>
            <w:pPr>
              <w:spacing w:line="300" w:lineRule="exact"/>
              <w:jc w:val="center"/>
              <w:rPr>
                <w:b/>
                <w:szCs w:val="21"/>
              </w:rPr>
            </w:pPr>
            <w:r>
              <w:rPr>
                <w:rFonts w:hint="eastAsia"/>
                <w:b/>
                <w:szCs w:val="21"/>
              </w:rPr>
              <w:t>1</w:t>
            </w:r>
            <w:r>
              <w:rPr>
                <w:b/>
                <w:szCs w:val="21"/>
              </w:rPr>
              <w:t>2</w:t>
            </w:r>
          </w:p>
          <w:p>
            <w:pPr>
              <w:spacing w:line="300" w:lineRule="exact"/>
              <w:jc w:val="center"/>
              <w:rPr>
                <w:b/>
                <w:szCs w:val="21"/>
              </w:rPr>
            </w:pPr>
          </w:p>
        </w:tc>
        <w:tc>
          <w:tcPr>
            <w:tcW w:w="1277" w:type="dxa"/>
            <w:vMerge w:val="restart"/>
            <w:tcBorders>
              <w:top w:val="single" w:color="auto" w:sz="4" w:space="0"/>
              <w:left w:val="single" w:color="auto" w:sz="4" w:space="0"/>
              <w:right w:val="single" w:color="auto" w:sz="4" w:space="0"/>
            </w:tcBorders>
            <w:vAlign w:val="center"/>
          </w:tcPr>
          <w:p>
            <w:pPr>
              <w:spacing w:line="300" w:lineRule="exact"/>
              <w:jc w:val="center"/>
              <w:rPr>
                <w:szCs w:val="21"/>
              </w:rPr>
            </w:pPr>
            <w:r>
              <w:rPr>
                <w:rFonts w:hint="eastAsia"/>
                <w:szCs w:val="21"/>
              </w:rPr>
              <w:t>电子投标文件与纸质投标文件形式及有效性</w:t>
            </w:r>
          </w:p>
        </w:tc>
        <w:tc>
          <w:tcPr>
            <w:tcW w:w="7228"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textAlignment w:val="bottom"/>
              <w:rPr>
                <w:color w:val="auto"/>
                <w:szCs w:val="21"/>
              </w:rPr>
            </w:pPr>
            <w:r>
              <w:rPr>
                <w:rFonts w:hint="eastAsia"/>
                <w:szCs w:val="21"/>
              </w:rPr>
              <w:t>（1）投标文件</w:t>
            </w:r>
            <w:r>
              <w:rPr>
                <w:rFonts w:hint="eastAsia"/>
                <w:color w:val="auto"/>
                <w:szCs w:val="21"/>
              </w:rPr>
              <w:t>形式：纸质投标文件</w:t>
            </w:r>
          </w:p>
          <w:p>
            <w:pPr>
              <w:autoSpaceDE w:val="0"/>
              <w:autoSpaceDN w:val="0"/>
              <w:jc w:val="left"/>
              <w:textAlignment w:val="bottom"/>
              <w:rPr>
                <w:szCs w:val="21"/>
              </w:rPr>
            </w:pPr>
            <w:r>
              <w:rPr>
                <w:rFonts w:hint="eastAsia"/>
                <w:color w:val="auto"/>
                <w:szCs w:val="21"/>
              </w:rPr>
              <w:t>①纸质投标文件是根据招标文件要求编制、打印并盖章</w:t>
            </w:r>
            <w:r>
              <w:rPr>
                <w:rFonts w:hint="eastAsia"/>
                <w:szCs w:val="21"/>
              </w:rPr>
              <w:t>的文件。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66" w:hRule="atLeast"/>
        </w:trPr>
        <w:tc>
          <w:tcPr>
            <w:tcW w:w="709" w:type="dxa"/>
            <w:vMerge w:val="continue"/>
            <w:tcBorders>
              <w:left w:val="single" w:color="auto" w:sz="4" w:space="0"/>
              <w:right w:val="single" w:color="auto" w:sz="4" w:space="0"/>
            </w:tcBorders>
            <w:vAlign w:val="center"/>
          </w:tcPr>
          <w:p>
            <w:pPr>
              <w:spacing w:line="300" w:lineRule="exact"/>
              <w:jc w:val="center"/>
              <w:rPr>
                <w:b/>
                <w:szCs w:val="21"/>
              </w:rPr>
            </w:pPr>
          </w:p>
        </w:tc>
        <w:tc>
          <w:tcPr>
            <w:tcW w:w="1277" w:type="dxa"/>
            <w:vMerge w:val="continue"/>
            <w:tcBorders>
              <w:left w:val="single" w:color="auto" w:sz="4" w:space="0"/>
              <w:bottom w:val="single" w:color="auto" w:sz="4" w:space="0"/>
              <w:right w:val="single" w:color="auto" w:sz="4" w:space="0"/>
            </w:tcBorders>
            <w:vAlign w:val="center"/>
          </w:tcPr>
          <w:p>
            <w:pPr>
              <w:spacing w:line="300" w:lineRule="exact"/>
              <w:jc w:val="center"/>
              <w:rPr>
                <w:szCs w:val="21"/>
              </w:rPr>
            </w:pP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rFonts w:hint="eastAsia"/>
                <w:szCs w:val="21"/>
              </w:rPr>
              <w:t>（2）投标文件有效性：</w:t>
            </w:r>
          </w:p>
          <w:p>
            <w:pPr>
              <w:autoSpaceDE w:val="0"/>
              <w:autoSpaceDN w:val="0"/>
              <w:jc w:val="left"/>
              <w:textAlignment w:val="bottom"/>
              <w:rPr>
                <w:szCs w:val="21"/>
              </w:rPr>
            </w:pPr>
            <w:r>
              <w:rPr>
                <w:rFonts w:hint="eastAsia"/>
                <w:szCs w:val="21"/>
              </w:rPr>
              <w:t>投标文件形式只提交一种投标文件，投标文件有效性按下述对应的编制要求确定。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0" w:hRule="atLeast"/>
        </w:trPr>
        <w:tc>
          <w:tcPr>
            <w:tcW w:w="709" w:type="dxa"/>
            <w:vMerge w:val="continue"/>
            <w:tcBorders>
              <w:left w:val="single" w:color="auto" w:sz="4" w:space="0"/>
              <w:right w:val="single" w:color="auto" w:sz="4" w:space="0"/>
            </w:tcBorders>
            <w:vAlign w:val="center"/>
          </w:tcPr>
          <w:p>
            <w:pPr>
              <w:spacing w:line="300" w:lineRule="exact"/>
              <w:jc w:val="center"/>
              <w:rPr>
                <w:b/>
                <w:szCs w:val="21"/>
              </w:rPr>
            </w:pPr>
          </w:p>
        </w:tc>
        <w:tc>
          <w:tcPr>
            <w:tcW w:w="1277" w:type="dxa"/>
            <w:vMerge w:val="restart"/>
            <w:tcBorders>
              <w:top w:val="single" w:color="auto" w:sz="4" w:space="0"/>
              <w:left w:val="single" w:color="auto" w:sz="4" w:space="0"/>
              <w:right w:val="single" w:color="auto" w:sz="4" w:space="0"/>
            </w:tcBorders>
            <w:vAlign w:val="center"/>
          </w:tcPr>
          <w:p>
            <w:pPr>
              <w:spacing w:line="300" w:lineRule="exact"/>
              <w:jc w:val="center"/>
              <w:rPr>
                <w:szCs w:val="21"/>
              </w:rPr>
            </w:pPr>
            <w:r>
              <w:rPr>
                <w:rFonts w:hint="eastAsia"/>
                <w:szCs w:val="21"/>
              </w:rPr>
              <w:t>纸质投标文件的编制与递交</w:t>
            </w:r>
          </w:p>
        </w:tc>
        <w:tc>
          <w:tcPr>
            <w:tcW w:w="7228"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textAlignment w:val="bottom"/>
              <w:rPr>
                <w:color w:val="4472C4"/>
                <w:szCs w:val="21"/>
              </w:rPr>
            </w:pPr>
            <w:r>
              <w:rPr>
                <w:rFonts w:hint="eastAsia"/>
                <w:szCs w:val="21"/>
              </w:rPr>
              <w:t>1、投标文件形式：纸质投标文件</w:t>
            </w:r>
          </w:p>
          <w:p>
            <w:pPr>
              <w:autoSpaceDE w:val="0"/>
              <w:autoSpaceDN w:val="0"/>
              <w:jc w:val="left"/>
              <w:textAlignment w:val="bottom"/>
              <w:rPr>
                <w:szCs w:val="21"/>
              </w:rPr>
            </w:pPr>
            <w:r>
              <w:rPr>
                <w:szCs w:val="21"/>
              </w:rPr>
              <w:t>2</w:t>
            </w:r>
            <w:r>
              <w:rPr>
                <w:rFonts w:hint="eastAsia"/>
                <w:szCs w:val="21"/>
              </w:rPr>
              <w:t>、纸质投标文件的编制：</w:t>
            </w:r>
          </w:p>
          <w:p>
            <w:pPr>
              <w:autoSpaceDE w:val="0"/>
              <w:autoSpaceDN w:val="0"/>
              <w:jc w:val="left"/>
              <w:textAlignment w:val="bottom"/>
              <w:rPr>
                <w:b/>
                <w:bCs/>
                <w:color w:val="auto"/>
                <w:szCs w:val="21"/>
              </w:rPr>
            </w:pPr>
            <w:r>
              <w:rPr>
                <w:rFonts w:hint="eastAsia"/>
                <w:b/>
                <w:bCs/>
                <w:color w:val="auto"/>
                <w:szCs w:val="21"/>
              </w:rPr>
              <w:t>纸质投标文件共需</w:t>
            </w:r>
            <w:r>
              <w:rPr>
                <w:rFonts w:hint="eastAsia"/>
                <w:b/>
                <w:bCs/>
                <w:color w:val="auto"/>
                <w:szCs w:val="21"/>
                <w:lang w:val="en-US" w:eastAsia="zh-CN"/>
              </w:rPr>
              <w:t>5</w:t>
            </w:r>
            <w:r>
              <w:rPr>
                <w:rFonts w:hint="eastAsia"/>
                <w:b/>
                <w:bCs/>
                <w:color w:val="auto"/>
                <w:szCs w:val="21"/>
              </w:rPr>
              <w:t>份，其中正本1份，副本</w:t>
            </w:r>
            <w:r>
              <w:rPr>
                <w:rFonts w:hint="eastAsia"/>
                <w:b/>
                <w:bCs/>
                <w:color w:val="auto"/>
                <w:szCs w:val="21"/>
                <w:lang w:val="en-US" w:eastAsia="zh-CN"/>
              </w:rPr>
              <w:t>4</w:t>
            </w:r>
            <w:r>
              <w:rPr>
                <w:rFonts w:hint="eastAsia"/>
                <w:b/>
                <w:bCs/>
                <w:color w:val="auto"/>
                <w:szCs w:val="21"/>
              </w:rPr>
              <w:t>份。</w:t>
            </w:r>
          </w:p>
          <w:p>
            <w:pPr>
              <w:spacing w:line="300" w:lineRule="exact"/>
              <w:jc w:val="left"/>
              <w:rPr>
                <w:szCs w:val="21"/>
              </w:rPr>
            </w:pPr>
            <w:r>
              <w:rPr>
                <w:rFonts w:hint="eastAsia"/>
                <w:szCs w:val="21"/>
              </w:rPr>
              <w:t>（1）分册要求：纸质投标文件分为两册。第一册为资格审查部分，第二册为商务技术报价部分（详见第六章投标文件格式）。</w:t>
            </w:r>
          </w:p>
          <w:p>
            <w:pPr>
              <w:autoSpaceDE w:val="0"/>
              <w:autoSpaceDN w:val="0"/>
              <w:jc w:val="left"/>
              <w:textAlignment w:val="bottom"/>
              <w:rPr>
                <w:szCs w:val="21"/>
              </w:rPr>
            </w:pPr>
            <w:r>
              <w:rPr>
                <w:rFonts w:hint="eastAsia"/>
                <w:szCs w:val="21"/>
              </w:rPr>
              <w:t>（</w:t>
            </w:r>
            <w:r>
              <w:rPr>
                <w:szCs w:val="21"/>
              </w:rPr>
              <w:t>2</w:t>
            </w:r>
            <w:r>
              <w:rPr>
                <w:rFonts w:hint="eastAsia"/>
                <w:szCs w:val="21"/>
              </w:rPr>
              <w:t>）编制要求：</w:t>
            </w:r>
          </w:p>
          <w:p>
            <w:pPr>
              <w:autoSpaceDE w:val="0"/>
              <w:autoSpaceDN w:val="0"/>
              <w:jc w:val="left"/>
              <w:textAlignment w:val="bottom"/>
              <w:rPr>
                <w:szCs w:val="21"/>
              </w:rPr>
            </w:pPr>
            <w:r>
              <w:rPr>
                <w:rFonts w:hint="eastAsia"/>
                <w:szCs w:val="21"/>
              </w:rPr>
              <w:t>①纸质投标文件应按第六章投标文件格式规定的目录及顺序编制，内容应完整。</w:t>
            </w:r>
          </w:p>
          <w:p>
            <w:pPr>
              <w:autoSpaceDE w:val="0"/>
              <w:autoSpaceDN w:val="0"/>
              <w:jc w:val="left"/>
              <w:textAlignment w:val="bottom"/>
              <w:rPr>
                <w:szCs w:val="21"/>
              </w:rPr>
            </w:pPr>
            <w:r>
              <w:rPr>
                <w:rFonts w:hint="eastAsia"/>
                <w:szCs w:val="21"/>
              </w:rPr>
              <w:t>②纸质投标文件正本需采用打印或用不褪色的墨水填写方式，副本可以使用正本复印件。</w:t>
            </w:r>
          </w:p>
          <w:p>
            <w:pPr>
              <w:autoSpaceDE w:val="0"/>
              <w:autoSpaceDN w:val="0"/>
              <w:jc w:val="left"/>
              <w:textAlignment w:val="bottom"/>
              <w:rPr>
                <w:szCs w:val="21"/>
              </w:rPr>
            </w:pPr>
            <w:r>
              <w:rPr>
                <w:rFonts w:hint="eastAsia"/>
                <w:szCs w:val="21"/>
              </w:rPr>
              <w:t>③正本与副本不一致时，以正本为准。不同语言的内容不一致的，以中文文本为准。</w:t>
            </w:r>
          </w:p>
          <w:p>
            <w:pPr>
              <w:autoSpaceDE w:val="0"/>
              <w:autoSpaceDN w:val="0"/>
              <w:jc w:val="left"/>
              <w:textAlignment w:val="bottom"/>
              <w:rPr>
                <w:szCs w:val="21"/>
              </w:rPr>
            </w:pPr>
            <w:r>
              <w:rPr>
                <w:rFonts w:hint="eastAsia"/>
                <w:szCs w:val="21"/>
              </w:rPr>
              <w:t>④纸质投标文件须由供应商在规定位置盖章并由法定代表人或法定代表人的授权委托人签署，供应商应写全称。</w:t>
            </w:r>
          </w:p>
          <w:p>
            <w:pPr>
              <w:spacing w:line="300" w:lineRule="exact"/>
              <w:jc w:val="left"/>
              <w:rPr>
                <w:szCs w:val="21"/>
              </w:rPr>
            </w:pPr>
            <w:r>
              <w:rPr>
                <w:rFonts w:hint="eastAsia"/>
                <w:szCs w:val="21"/>
              </w:rPr>
              <w:t>⑤纸质投标文件不得涂改，若有修改处，须加盖单位公章或者法定代表人或授权委托人签字或盖章。</w:t>
            </w:r>
          </w:p>
          <w:p>
            <w:pPr>
              <w:spacing w:line="300" w:lineRule="exact"/>
              <w:jc w:val="left"/>
              <w:rPr>
                <w:szCs w:val="21"/>
              </w:rPr>
            </w:pPr>
            <w:r>
              <w:rPr>
                <w:rFonts w:hint="eastAsia"/>
                <w:szCs w:val="21"/>
              </w:rPr>
              <w:t>⑥纸质投标文件每册装订应牢固、不易拆散和换页，不得采用活页装订。</w:t>
            </w:r>
          </w:p>
          <w:p>
            <w:pPr>
              <w:spacing w:line="300" w:lineRule="exact"/>
              <w:jc w:val="left"/>
              <w:rPr>
                <w:szCs w:val="21"/>
              </w:rPr>
            </w:pPr>
            <w:r>
              <w:rPr>
                <w:rFonts w:hint="eastAsia"/>
                <w:szCs w:val="21"/>
              </w:rPr>
              <w:t>⑦提交纸质投标文件时，需同时提交投标文件的电子版。</w:t>
            </w:r>
          </w:p>
          <w:p>
            <w:pPr>
              <w:spacing w:line="300" w:lineRule="exact"/>
              <w:jc w:val="left"/>
              <w:rPr>
                <w:szCs w:val="21"/>
              </w:rPr>
            </w:pPr>
            <w:r>
              <w:rPr>
                <w:rFonts w:hint="eastAsia"/>
              </w:rPr>
              <w:t>（</w:t>
            </w:r>
            <w:r>
              <w:t>3</w:t>
            </w:r>
            <w:r>
              <w:rPr>
                <w:rFonts w:hint="eastAsia"/>
              </w:rPr>
              <w:t>）</w:t>
            </w:r>
            <w:r>
              <w:rPr>
                <w:rFonts w:hint="eastAsia"/>
                <w:szCs w:val="21"/>
              </w:rPr>
              <w:t>包装要求：</w:t>
            </w:r>
          </w:p>
          <w:p>
            <w:pPr>
              <w:spacing w:line="300" w:lineRule="exact"/>
              <w:jc w:val="left"/>
            </w:pPr>
            <w:r>
              <w:rPr>
                <w:rFonts w:hint="eastAsia"/>
                <w:szCs w:val="21"/>
              </w:rPr>
              <w:t>①所有文件应包装为一个总密封袋，</w:t>
            </w:r>
            <w:r>
              <w:t>包括纸质投标文件第一册、纸质投标文件第二册</w:t>
            </w:r>
            <w:r>
              <w:rPr>
                <w:rFonts w:hint="eastAsia"/>
              </w:rPr>
              <w:t>，单独密封文件的密封袋。</w:t>
            </w:r>
          </w:p>
          <w:p>
            <w:pPr>
              <w:spacing w:line="300" w:lineRule="exact"/>
              <w:jc w:val="left"/>
              <w:rPr>
                <w:szCs w:val="21"/>
              </w:rPr>
            </w:pPr>
            <w:r>
              <w:rPr>
                <w:rFonts w:hint="eastAsia"/>
                <w:szCs w:val="21"/>
              </w:rPr>
              <w:t>②</w:t>
            </w:r>
            <w:r>
              <w:rPr>
                <w:rFonts w:hint="eastAsia"/>
              </w:rPr>
              <w:t>需要单独密封的文件：</w:t>
            </w:r>
            <w:r>
              <w:t>以</w:t>
            </w:r>
            <w:r>
              <w:rPr>
                <w:rFonts w:hint="eastAsia"/>
              </w:rPr>
              <w:t>缴纳方式二提交投标</w:t>
            </w:r>
            <w:r>
              <w:t>保证金时</w:t>
            </w:r>
            <w:r>
              <w:rPr>
                <w:rFonts w:hint="eastAsia"/>
              </w:rPr>
              <w:t>的投标</w:t>
            </w:r>
            <w:r>
              <w:t>保证金原件</w:t>
            </w:r>
            <w:r>
              <w:rPr>
                <w:rFonts w:hint="eastAsia"/>
              </w:rPr>
              <w:t>；投标文件</w:t>
            </w:r>
            <w:r>
              <w:rPr>
                <w:rFonts w:hint="eastAsia"/>
                <w:szCs w:val="21"/>
              </w:rPr>
              <w:t>电子版</w:t>
            </w:r>
            <w:r>
              <w:rPr>
                <w:rFonts w:hint="eastAsia"/>
              </w:rPr>
              <w:t>U盘</w:t>
            </w:r>
            <w:r>
              <w:rPr>
                <w:rFonts w:hint="eastAsia"/>
                <w:szCs w:val="21"/>
              </w:rPr>
              <w:t>，声明函1份。</w:t>
            </w:r>
            <w:r>
              <w:rPr>
                <w:rFonts w:hint="eastAsia"/>
              </w:rPr>
              <w:t>单独密封的文件需要各自</w:t>
            </w:r>
            <w:r>
              <w:t>先放入一个单独的密封袋中，然后</w:t>
            </w:r>
            <w:r>
              <w:rPr>
                <w:rFonts w:hint="eastAsia"/>
              </w:rPr>
              <w:t>再与其他文件一起</w:t>
            </w:r>
            <w:r>
              <w:t>放入</w:t>
            </w:r>
            <w:r>
              <w:rPr>
                <w:rFonts w:hint="eastAsia"/>
              </w:rPr>
              <w:t>总</w:t>
            </w:r>
            <w:r>
              <w:t>密封袋。</w:t>
            </w:r>
          </w:p>
          <w:p>
            <w:pPr>
              <w:spacing w:line="300" w:lineRule="exact"/>
              <w:jc w:val="left"/>
              <w:rPr>
                <w:szCs w:val="21"/>
              </w:rPr>
            </w:pPr>
            <w:r>
              <w:rPr>
                <w:rFonts w:hint="eastAsia"/>
                <w:szCs w:val="21"/>
              </w:rPr>
              <w:t>③总密封袋密封后应保证投标文件内容不外露。同时需在密封袋外粘贴联系方式，包括授权代表姓名、手机号码、电子邮箱、微信号码或QQ号码。</w:t>
            </w:r>
          </w:p>
          <w:p>
            <w:pPr>
              <w:spacing w:line="300" w:lineRule="exact"/>
              <w:jc w:val="left"/>
              <w:rPr>
                <w:szCs w:val="21"/>
              </w:rPr>
            </w:pPr>
            <w:r>
              <w:rPr>
                <w:rFonts w:hint="eastAsia"/>
                <w:szCs w:val="21"/>
              </w:rPr>
              <w:t>④总密封袋及单独密封袋的封面标识详见第六章投标文件格式要求，并加盖供应商公章。封贴处须盖章（公章或密封章）或法定代表人或其授权代表签字。</w:t>
            </w:r>
          </w:p>
          <w:p>
            <w:pPr>
              <w:spacing w:line="300" w:lineRule="exact"/>
              <w:jc w:val="left"/>
              <w:rPr>
                <w:szCs w:val="21"/>
              </w:rPr>
            </w:pPr>
            <w:r>
              <w:rPr>
                <w:rFonts w:hint="eastAsia"/>
                <w:szCs w:val="21"/>
              </w:rPr>
              <w:t>未按上述要求编制或密封的纸质投标文件，为无效纸质投标文件。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57" w:hRule="atLeast"/>
        </w:trPr>
        <w:tc>
          <w:tcPr>
            <w:tcW w:w="709" w:type="dxa"/>
            <w:vMerge w:val="continue"/>
            <w:tcBorders>
              <w:left w:val="single" w:color="auto" w:sz="4" w:space="0"/>
              <w:right w:val="single" w:color="auto" w:sz="4" w:space="0"/>
            </w:tcBorders>
            <w:vAlign w:val="center"/>
          </w:tcPr>
          <w:p>
            <w:pPr>
              <w:spacing w:line="300" w:lineRule="exact"/>
              <w:jc w:val="center"/>
              <w:rPr>
                <w:b/>
                <w:szCs w:val="21"/>
              </w:rPr>
            </w:pPr>
          </w:p>
        </w:tc>
        <w:tc>
          <w:tcPr>
            <w:tcW w:w="1277" w:type="dxa"/>
            <w:vMerge w:val="continue"/>
            <w:tcBorders>
              <w:left w:val="single" w:color="auto" w:sz="4" w:space="0"/>
              <w:bottom w:val="single" w:color="auto" w:sz="4" w:space="0"/>
              <w:right w:val="single" w:color="auto" w:sz="4" w:space="0"/>
            </w:tcBorders>
            <w:vAlign w:val="center"/>
          </w:tcPr>
          <w:p>
            <w:pPr>
              <w:spacing w:line="300" w:lineRule="exact"/>
              <w:jc w:val="center"/>
              <w:rPr>
                <w:szCs w:val="21"/>
              </w:rPr>
            </w:pP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3</w:t>
            </w:r>
            <w:r>
              <w:rPr>
                <w:rFonts w:hint="eastAsia"/>
                <w:szCs w:val="21"/>
              </w:rPr>
              <w:t>、纸质投标文件的递交：</w:t>
            </w:r>
          </w:p>
          <w:p>
            <w:pPr>
              <w:spacing w:line="300" w:lineRule="exact"/>
              <w:jc w:val="left"/>
              <w:rPr>
                <w:szCs w:val="21"/>
              </w:rPr>
            </w:pPr>
            <w:r>
              <w:rPr>
                <w:rFonts w:hint="eastAsia"/>
                <w:szCs w:val="21"/>
              </w:rPr>
              <w:t>（1）</w:t>
            </w:r>
            <w:r>
              <w:rPr>
                <w:szCs w:val="21"/>
              </w:rPr>
              <w:t>递交地点：</w:t>
            </w:r>
            <w:r>
              <w:rPr>
                <w:rFonts w:hint="eastAsia"/>
                <w:kern w:val="0"/>
                <w:szCs w:val="21"/>
              </w:rPr>
              <w:t>见招标公告要求</w:t>
            </w:r>
            <w:r>
              <w:rPr>
                <w:szCs w:val="21"/>
              </w:rPr>
              <w:t>。</w:t>
            </w:r>
          </w:p>
          <w:p>
            <w:pPr>
              <w:spacing w:line="300" w:lineRule="exact"/>
              <w:jc w:val="left"/>
              <w:rPr>
                <w:szCs w:val="21"/>
              </w:rPr>
            </w:pPr>
            <w:r>
              <w:rPr>
                <w:rFonts w:hint="eastAsia"/>
                <w:szCs w:val="21"/>
              </w:rPr>
              <w:t>（2）递交方式：邮寄或现场送达，不接受传真、电子邮件方式送达的投标文件。</w:t>
            </w:r>
          </w:p>
          <w:p>
            <w:pPr>
              <w:spacing w:line="300" w:lineRule="exact"/>
              <w:jc w:val="left"/>
              <w:rPr>
                <w:szCs w:val="21"/>
              </w:rPr>
            </w:pPr>
            <w:r>
              <w:rPr>
                <w:rFonts w:hint="eastAsia"/>
                <w:szCs w:val="21"/>
              </w:rPr>
              <w:t>供应商如采用邮寄方式，应于投标文件递交截止时间前将纸质投标文件密封并邮寄至上述递交地点。发送快</w:t>
            </w:r>
            <w:r>
              <w:rPr>
                <w:rFonts w:hint="eastAsia"/>
                <w:color w:val="auto"/>
                <w:szCs w:val="21"/>
              </w:rPr>
              <w:t>递时请注明内容为“项目编号投标文件”。供应商应合理估计邮寄时间以确保按时送达。供应商如采用现场递交方式，</w:t>
            </w:r>
            <w:r>
              <w:rPr>
                <w:rFonts w:hint="eastAsia"/>
                <w:szCs w:val="21"/>
              </w:rPr>
              <w:t>应于投标文件递交截止时间前将纸质投标文件密封并递交至上述递交地点。</w:t>
            </w:r>
          </w:p>
          <w:p>
            <w:pPr>
              <w:spacing w:line="300" w:lineRule="exact"/>
              <w:jc w:val="left"/>
              <w:rPr>
                <w:szCs w:val="21"/>
              </w:rPr>
            </w:pPr>
            <w:r>
              <w:rPr>
                <w:rFonts w:hint="eastAsia"/>
                <w:szCs w:val="21"/>
              </w:rPr>
              <w:t>逾期送达（以签收时间为准）</w:t>
            </w:r>
            <w:r>
              <w:rPr>
                <w:szCs w:val="21"/>
              </w:rPr>
              <w:t>或未密封</w:t>
            </w:r>
            <w:r>
              <w:rPr>
                <w:rFonts w:hint="eastAsia"/>
                <w:szCs w:val="21"/>
              </w:rPr>
              <w:t>的纸质投标文件将予以拒收。</w:t>
            </w:r>
          </w:p>
          <w:p>
            <w:pPr>
              <w:autoSpaceDE w:val="0"/>
              <w:autoSpaceDN w:val="0"/>
              <w:jc w:val="left"/>
              <w:textAlignment w:val="bottom"/>
              <w:rPr>
                <w:szCs w:val="21"/>
              </w:rPr>
            </w:pPr>
            <w:r>
              <w:rPr>
                <w:rFonts w:hint="eastAsia"/>
                <w:szCs w:val="21"/>
              </w:rPr>
              <w:t>纸质投标文件递交地点及接收人：</w:t>
            </w:r>
            <w:r>
              <w:rPr>
                <w:rFonts w:hint="eastAsia"/>
                <w:b/>
                <w:bCs/>
                <w:szCs w:val="21"/>
              </w:rPr>
              <w:t>广西南宁市青秀区金湖路63号金源CBD现代城B座7楼719办公室，莫燕萌13557595403。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13</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szCs w:val="21"/>
              </w:rPr>
              <w:t>投标文件递交</w:t>
            </w:r>
            <w:r>
              <w:rPr>
                <w:rFonts w:hint="eastAsia"/>
                <w:szCs w:val="21"/>
              </w:rPr>
              <w:t>截止时间及开标时间</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rFonts w:hint="eastAsia"/>
                <w:kern w:val="0"/>
                <w:szCs w:val="21"/>
              </w:rPr>
              <w:t>见招标公告要求</w:t>
            </w:r>
            <w:r>
              <w:rPr>
                <w:rFonts w:hint="eastAsia"/>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14</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rFonts w:hint="eastAsia"/>
                <w:szCs w:val="21"/>
              </w:rPr>
              <w:t>开标会议</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rFonts w:hint="eastAsia"/>
                <w:szCs w:val="21"/>
              </w:rPr>
              <w:t>（</w:t>
            </w:r>
            <w:r>
              <w:rPr>
                <w:szCs w:val="21"/>
              </w:rPr>
              <w:t>1</w:t>
            </w:r>
            <w:r>
              <w:rPr>
                <w:rFonts w:hint="eastAsia"/>
                <w:szCs w:val="21"/>
              </w:rPr>
              <w:t>）参加方式：远程或现场参加</w:t>
            </w:r>
          </w:p>
          <w:p>
            <w:pPr>
              <w:spacing w:line="300" w:lineRule="exact"/>
              <w:jc w:val="left"/>
              <w:rPr>
                <w:kern w:val="0"/>
                <w:szCs w:val="21"/>
              </w:rPr>
            </w:pPr>
            <w:r>
              <w:rPr>
                <w:rFonts w:hint="eastAsia"/>
                <w:kern w:val="0"/>
                <w:szCs w:val="21"/>
              </w:rPr>
              <w:t>①</w:t>
            </w:r>
            <w:r>
              <w:rPr>
                <w:rFonts w:hint="eastAsia"/>
              </w:rPr>
              <w:t>为响应疫情防控工作有关部署，有效减少人员聚集，阻断疫情传播，</w:t>
            </w:r>
            <w:r>
              <w:rPr>
                <w:rFonts w:hint="eastAsia"/>
                <w:kern w:val="0"/>
                <w:szCs w:val="21"/>
              </w:rPr>
              <w:t>按照不见面、少接触的原则，建议供应商不派授权代表到现场参加开标活动。</w:t>
            </w:r>
          </w:p>
          <w:p>
            <w:pPr>
              <w:pStyle w:val="14"/>
            </w:pPr>
            <w:r>
              <w:rPr>
                <w:rFonts w:hint="eastAsia"/>
                <w:kern w:val="0"/>
                <w:szCs w:val="21"/>
              </w:rPr>
              <w:t>②供应商可根据采购代理机构提供的</w:t>
            </w:r>
            <w:r>
              <w:rPr>
                <w:rFonts w:hint="eastAsia"/>
              </w:rPr>
              <w:t>直播方式</w:t>
            </w:r>
            <w:r>
              <w:rPr>
                <w:rFonts w:hint="eastAsia"/>
                <w:kern w:val="0"/>
                <w:szCs w:val="21"/>
              </w:rPr>
              <w:t>远程观看开标会议。</w:t>
            </w:r>
          </w:p>
          <w:p>
            <w:pPr>
              <w:spacing w:line="300" w:lineRule="exact"/>
              <w:jc w:val="left"/>
              <w:rPr>
                <w:szCs w:val="21"/>
              </w:rPr>
            </w:pPr>
            <w:r>
              <w:rPr>
                <w:rFonts w:hint="eastAsia"/>
                <w:szCs w:val="21"/>
              </w:rPr>
              <w:t>（2）参加人员要求：</w:t>
            </w:r>
          </w:p>
          <w:p>
            <w:pPr>
              <w:spacing w:line="300" w:lineRule="exact"/>
              <w:jc w:val="left"/>
              <w:rPr>
                <w:szCs w:val="21"/>
              </w:rPr>
            </w:pPr>
            <w:r>
              <w:rPr>
                <w:rFonts w:hint="eastAsia"/>
                <w:szCs w:val="21"/>
              </w:rPr>
              <w:t>①供应商确实需要到现场参加开标会议的，仅能选</w:t>
            </w:r>
            <w:r>
              <w:rPr>
                <w:szCs w:val="21"/>
              </w:rPr>
              <w:t>派</w:t>
            </w:r>
            <w:r>
              <w:rPr>
                <w:rFonts w:hint="eastAsia"/>
                <w:szCs w:val="21"/>
              </w:rPr>
              <w:t>一名</w:t>
            </w:r>
            <w:r>
              <w:rPr>
                <w:szCs w:val="21"/>
              </w:rPr>
              <w:t>授权代表</w:t>
            </w:r>
            <w:r>
              <w:rPr>
                <w:rFonts w:hint="eastAsia"/>
                <w:szCs w:val="21"/>
              </w:rPr>
              <w:t>（</w:t>
            </w:r>
            <w:r>
              <w:rPr>
                <w:szCs w:val="21"/>
              </w:rPr>
              <w:t>或法定代表人</w:t>
            </w:r>
            <w:r>
              <w:rPr>
                <w:rFonts w:hint="eastAsia"/>
                <w:szCs w:val="21"/>
              </w:rPr>
              <w:t>）</w:t>
            </w:r>
            <w:r>
              <w:rPr>
                <w:szCs w:val="21"/>
              </w:rPr>
              <w:t>持有效证件参加。授权代表参加的，采购人或采购代理机构将核对授权代表身份证原件与法定代表人授权委托书上授权代表姓名是否一致，授权委托书格式见第六章；法定代表人参加的，采购人或采购代理机构将核对法定代表人身份证原件与法定代表人身份证明原件上姓名是否一致，法人身份证明格式见第六章。如姓名不一致的或未按要求签字加盖公章的，将被拒绝参加开标会议并不得对开标结果提出异议。被拒绝参加开标会议的人员所递交的</w:t>
            </w:r>
            <w:r>
              <w:rPr>
                <w:rFonts w:hint="eastAsia"/>
                <w:szCs w:val="21"/>
              </w:rPr>
              <w:t>纸质投标文件</w:t>
            </w:r>
            <w:r>
              <w:rPr>
                <w:szCs w:val="21"/>
              </w:rPr>
              <w:t>符合</w:t>
            </w:r>
            <w:r>
              <w:rPr>
                <w:rFonts w:hint="eastAsia"/>
                <w:szCs w:val="21"/>
              </w:rPr>
              <w:t>招标</w:t>
            </w:r>
            <w:r>
              <w:rPr>
                <w:szCs w:val="21"/>
              </w:rPr>
              <w:t>文件要求的，</w:t>
            </w:r>
            <w:r>
              <w:rPr>
                <w:rFonts w:hint="eastAsia"/>
                <w:szCs w:val="21"/>
              </w:rPr>
              <w:t>文件</w:t>
            </w:r>
            <w:r>
              <w:rPr>
                <w:szCs w:val="21"/>
              </w:rPr>
              <w:t>予</w:t>
            </w:r>
            <w:r>
              <w:rPr>
                <w:rFonts w:hint="eastAsia"/>
                <w:szCs w:val="21"/>
              </w:rPr>
              <w:t>以</w:t>
            </w:r>
            <w:r>
              <w:rPr>
                <w:szCs w:val="21"/>
              </w:rPr>
              <w:t>接收。</w:t>
            </w:r>
          </w:p>
          <w:p>
            <w:pPr>
              <w:spacing w:line="300" w:lineRule="exact"/>
              <w:jc w:val="left"/>
              <w:rPr>
                <w:kern w:val="0"/>
                <w:szCs w:val="21"/>
              </w:rPr>
            </w:pPr>
            <w:r>
              <w:rPr>
                <w:rFonts w:hint="eastAsia"/>
                <w:kern w:val="0"/>
                <w:szCs w:val="21"/>
              </w:rPr>
              <w:t>②供应商到现场参加会议的，须携带个人专用的签字笔等文具，全程佩戴口罩。参加前应按采购代理机构疫情防控要求如实登记信息，如有不实信息，采购代理机构将报送有关防控部门。同时请参会人员注意执行开标会议地点有关隔离等疫情防控措施的规定，如因被隔离导致无法投标的责任自行负责。</w:t>
            </w:r>
          </w:p>
          <w:p>
            <w:pPr>
              <w:spacing w:line="300" w:lineRule="exact"/>
              <w:jc w:val="left"/>
              <w:rPr>
                <w:kern w:val="0"/>
                <w:szCs w:val="21"/>
              </w:rPr>
            </w:pPr>
            <w:r>
              <w:rPr>
                <w:rFonts w:hint="eastAsia"/>
                <w:kern w:val="0"/>
                <w:szCs w:val="21"/>
              </w:rPr>
              <w:t>（</w:t>
            </w:r>
            <w:r>
              <w:rPr>
                <w:kern w:val="0"/>
                <w:szCs w:val="21"/>
              </w:rPr>
              <w:t>3</w:t>
            </w:r>
            <w:r>
              <w:rPr>
                <w:rFonts w:hint="eastAsia"/>
                <w:kern w:val="0"/>
                <w:szCs w:val="21"/>
              </w:rPr>
              <w:t>）开标程序：</w:t>
            </w:r>
          </w:p>
          <w:p>
            <w:pPr>
              <w:spacing w:line="300" w:lineRule="exact"/>
              <w:jc w:val="left"/>
              <w:rPr>
                <w:kern w:val="0"/>
                <w:szCs w:val="21"/>
              </w:rPr>
            </w:pPr>
            <w:r>
              <w:rPr>
                <w:rFonts w:hint="eastAsia"/>
                <w:kern w:val="0"/>
                <w:szCs w:val="21"/>
              </w:rPr>
              <w:t>①宣布开标；宣读开标纪律；宣布唱标人、记录人、监标人等有关人员名单；如有授权代表到现场参加开标会议，由采购人或采购代理机构检查授权代表的资格证件（包括身份证原件、授权委托书）。</w:t>
            </w:r>
          </w:p>
          <w:p>
            <w:pPr>
              <w:spacing w:line="300" w:lineRule="exact"/>
              <w:jc w:val="left"/>
              <w:rPr>
                <w:kern w:val="0"/>
                <w:szCs w:val="21"/>
              </w:rPr>
            </w:pPr>
            <w:r>
              <w:rPr>
                <w:rFonts w:hint="eastAsia"/>
                <w:kern w:val="0"/>
                <w:szCs w:val="21"/>
              </w:rPr>
              <w:t>②公布开标前递交投标文件的供应商名单。</w:t>
            </w:r>
          </w:p>
          <w:p>
            <w:pPr>
              <w:spacing w:line="300" w:lineRule="exact"/>
              <w:jc w:val="left"/>
              <w:rPr>
                <w:kern w:val="0"/>
                <w:szCs w:val="21"/>
              </w:rPr>
            </w:pPr>
            <w:r>
              <w:rPr>
                <w:rFonts w:hint="eastAsia"/>
                <w:kern w:val="0"/>
                <w:szCs w:val="21"/>
              </w:rPr>
              <w:t>③公布开标结果。</w:t>
            </w:r>
          </w:p>
          <w:p>
            <w:pPr>
              <w:spacing w:line="300" w:lineRule="exact"/>
              <w:rPr>
                <w:kern w:val="0"/>
                <w:szCs w:val="21"/>
              </w:rPr>
            </w:pPr>
            <w:r>
              <w:rPr>
                <w:rFonts w:hint="eastAsia"/>
                <w:kern w:val="0"/>
                <w:szCs w:val="21"/>
              </w:rPr>
              <w:t>④未到现场的供应商对开标有异议的，应通过直播软件客户端提出，项目负责人将通过电话进行联系，当场作出答复并制作记录。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rFonts w:hint="eastAsia"/>
                <w:b/>
                <w:szCs w:val="21"/>
              </w:rPr>
              <w:t>1</w:t>
            </w:r>
            <w:r>
              <w:rPr>
                <w:b/>
                <w:szCs w:val="21"/>
              </w:rPr>
              <w:t>5</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rFonts w:hint="eastAsia"/>
                <w:szCs w:val="21"/>
              </w:rPr>
              <w:t>电子投标文件开标解密要求</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eastAsia="宋体"/>
                <w:szCs w:val="21"/>
                <w:lang w:eastAsia="zh-CN"/>
              </w:rPr>
            </w:pPr>
            <w:r>
              <w:rPr>
                <w:rFonts w:hint="eastAsia"/>
                <w:kern w:val="0"/>
                <w:szCs w:val="21"/>
                <w:lang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16</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szCs w:val="21"/>
              </w:rPr>
              <w:t>投标文件</w:t>
            </w:r>
            <w:r>
              <w:rPr>
                <w:rFonts w:hint="eastAsia"/>
                <w:szCs w:val="21"/>
              </w:rPr>
              <w:t>的</w:t>
            </w:r>
            <w:r>
              <w:rPr>
                <w:szCs w:val="21"/>
              </w:rPr>
              <w:t>修改</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rFonts w:hint="eastAsia"/>
                <w:szCs w:val="21"/>
              </w:rPr>
              <w:t>（</w:t>
            </w:r>
            <w:r>
              <w:rPr>
                <w:szCs w:val="21"/>
              </w:rPr>
              <w:t>1</w:t>
            </w:r>
            <w:r>
              <w:rPr>
                <w:rFonts w:hint="eastAsia"/>
                <w:szCs w:val="21"/>
              </w:rPr>
              <w:t>）修改投标文件</w:t>
            </w:r>
          </w:p>
          <w:p>
            <w:pPr>
              <w:spacing w:line="300" w:lineRule="exact"/>
              <w:jc w:val="left"/>
              <w:rPr>
                <w:szCs w:val="21"/>
              </w:rPr>
            </w:pPr>
            <w:r>
              <w:rPr>
                <w:rFonts w:hint="eastAsia"/>
                <w:szCs w:val="21"/>
              </w:rPr>
              <w:t>①</w:t>
            </w:r>
            <w:r>
              <w:rPr>
                <w:szCs w:val="21"/>
              </w:rPr>
              <w:t>供应商在投标文件递交截止时间前，可以对已提交的</w:t>
            </w:r>
            <w:r>
              <w:rPr>
                <w:rFonts w:hint="eastAsia"/>
                <w:szCs w:val="21"/>
              </w:rPr>
              <w:t>电子</w:t>
            </w:r>
            <w:r>
              <w:rPr>
                <w:szCs w:val="21"/>
              </w:rPr>
              <w:t>投标文件进行修改</w:t>
            </w:r>
            <w:r>
              <w:rPr>
                <w:rFonts w:hint="eastAsia"/>
                <w:szCs w:val="21"/>
              </w:rPr>
              <w:t>。供应商登陆电子交易平台，使用撤销功能即可撤回原已上传的电子投标文件，然后重新上传修改后的加密格式的电子投标文件并进行模拟解密检查。供应商同时提交不加密格式的电子投标文件U盘时，注意应为最新版本。</w:t>
            </w:r>
          </w:p>
          <w:p>
            <w:pPr>
              <w:spacing w:line="300" w:lineRule="exact"/>
              <w:jc w:val="left"/>
              <w:rPr>
                <w:szCs w:val="21"/>
              </w:rPr>
            </w:pPr>
            <w:r>
              <w:rPr>
                <w:rFonts w:hint="eastAsia"/>
                <w:szCs w:val="21"/>
              </w:rPr>
              <w:t>②</w:t>
            </w:r>
            <w:r>
              <w:rPr>
                <w:szCs w:val="21"/>
              </w:rPr>
              <w:t>修改</w:t>
            </w:r>
            <w:r>
              <w:rPr>
                <w:rFonts w:hint="eastAsia"/>
                <w:szCs w:val="21"/>
              </w:rPr>
              <w:t>电子投标文件后，供应商应按上述纸质投标文件要求重新编制、包装并递交纸质投标文件。如供应商已寄出原纸质投标文件的，应按上述递交方式</w:t>
            </w:r>
            <w:r>
              <w:rPr>
                <w:szCs w:val="21"/>
              </w:rPr>
              <w:t>重新</w:t>
            </w:r>
            <w:r>
              <w:rPr>
                <w:rFonts w:hint="eastAsia"/>
                <w:szCs w:val="21"/>
              </w:rPr>
              <w:t>将纸质</w:t>
            </w:r>
            <w:r>
              <w:rPr>
                <w:szCs w:val="21"/>
              </w:rPr>
              <w:t>投标文件在投标文件递交截止时间前</w:t>
            </w:r>
            <w:r>
              <w:rPr>
                <w:rFonts w:hint="eastAsia"/>
                <w:szCs w:val="21"/>
              </w:rPr>
              <w:t>送达采购代理机构，逾期送达（以签收时间为准）</w:t>
            </w:r>
            <w:r>
              <w:rPr>
                <w:szCs w:val="21"/>
              </w:rPr>
              <w:t>或未密封</w:t>
            </w:r>
            <w:r>
              <w:rPr>
                <w:rFonts w:hint="eastAsia"/>
                <w:szCs w:val="21"/>
              </w:rPr>
              <w:t>的纸质修改投标文件将予以拒收。</w:t>
            </w:r>
          </w:p>
          <w:p>
            <w:pPr>
              <w:spacing w:line="300" w:lineRule="exact"/>
              <w:jc w:val="left"/>
              <w:rPr>
                <w:szCs w:val="21"/>
              </w:rPr>
            </w:pPr>
            <w:r>
              <w:rPr>
                <w:rFonts w:hint="eastAsia"/>
                <w:szCs w:val="21"/>
              </w:rPr>
              <w:t>（2）撤回投标文件</w:t>
            </w:r>
          </w:p>
          <w:p>
            <w:pPr>
              <w:spacing w:line="300" w:lineRule="exact"/>
              <w:jc w:val="left"/>
              <w:rPr>
                <w:szCs w:val="21"/>
              </w:rPr>
            </w:pPr>
            <w:r>
              <w:rPr>
                <w:szCs w:val="21"/>
              </w:rPr>
              <w:t>供应商在投标文件递交截止时间前，可以对已提交的投标文件进行</w:t>
            </w:r>
            <w:r>
              <w:rPr>
                <w:rFonts w:hint="eastAsia"/>
                <w:szCs w:val="21"/>
              </w:rPr>
              <w:t>撤回。供应商登陆电子交易平台，使用撤销功能即可撤回已上传的电子投标文件。如供应商已寄出纸质投标文件的，采购代理机构将不开启其纸质投标文件并退回供应商。</w:t>
            </w:r>
          </w:p>
          <w:p>
            <w:pPr>
              <w:spacing w:line="300" w:lineRule="exact"/>
              <w:jc w:val="left"/>
              <w:rPr>
                <w:szCs w:val="21"/>
              </w:rPr>
            </w:pPr>
            <w:r>
              <w:rPr>
                <w:rFonts w:hint="eastAsia"/>
                <w:szCs w:val="21"/>
              </w:rPr>
              <w:t>（</w:t>
            </w:r>
            <w:r>
              <w:rPr>
                <w:szCs w:val="21"/>
              </w:rPr>
              <w:t>3</w:t>
            </w:r>
            <w:r>
              <w:rPr>
                <w:rFonts w:hint="eastAsia"/>
                <w:szCs w:val="21"/>
              </w:rPr>
              <w:t>）如本项目仅要求递交纸质投标文件，则修改或撤回投标的要求均以纸质修改或撤回文件为准。</w:t>
            </w:r>
            <w:r>
              <w:rPr>
                <w:szCs w:val="21"/>
              </w:rPr>
              <w:t>投标文件递交截止时间后，供应商不得修改、撤</w:t>
            </w:r>
            <w:r>
              <w:rPr>
                <w:rFonts w:hint="eastAsia"/>
                <w:szCs w:val="21"/>
              </w:rPr>
              <w:t>回</w:t>
            </w:r>
            <w:r>
              <w:rPr>
                <w:szCs w:val="21"/>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17</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szCs w:val="21"/>
              </w:rPr>
              <w:t>中标公告及中标通知书</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szCs w:val="21"/>
              </w:rPr>
              <w:t>采购代理机构在采购人依法确认中标人后2个工作日内在招标公告发布的媒体上发布中标公告</w:t>
            </w:r>
            <w:r>
              <w:rPr>
                <w:rFonts w:hint="eastAsia"/>
                <w:szCs w:val="21"/>
              </w:rPr>
              <w:t>并通过精彩纵横交易平台</w:t>
            </w:r>
            <w:r>
              <w:rPr>
                <w:szCs w:val="21"/>
              </w:rPr>
              <w:t>(www.jczh100.com)</w:t>
            </w:r>
            <w:r>
              <w:rPr>
                <w:rFonts w:hint="eastAsia"/>
                <w:szCs w:val="21"/>
              </w:rPr>
              <w:t>发出</w:t>
            </w:r>
            <w:r>
              <w:rPr>
                <w:szCs w:val="21"/>
              </w:rPr>
              <w:t>中标通知书。</w:t>
            </w:r>
          </w:p>
          <w:p>
            <w:pPr>
              <w:spacing w:line="300" w:lineRule="exact"/>
              <w:jc w:val="left"/>
              <w:rPr>
                <w:szCs w:val="21"/>
              </w:rPr>
            </w:pPr>
            <w:r>
              <w:rPr>
                <w:rFonts w:hint="eastAsia"/>
                <w:szCs w:val="21"/>
              </w:rPr>
              <w:t>中标通知书在电子交易平台投标人工作台推送之日起，视为中标人已收到，中标人自行承担未及时查收的后果。</w:t>
            </w:r>
          </w:p>
          <w:p>
            <w:pPr>
              <w:spacing w:line="300" w:lineRule="exact"/>
              <w:jc w:val="left"/>
              <w:rPr>
                <w:szCs w:val="21"/>
              </w:rPr>
            </w:pPr>
            <w:r>
              <w:rPr>
                <w:rFonts w:hint="eastAsia"/>
                <w:szCs w:val="21"/>
              </w:rPr>
              <w:t>中标人收到中标公告及中标通知书后</w:t>
            </w:r>
            <w:r>
              <w:rPr>
                <w:rFonts w:hint="eastAsia"/>
                <w:kern w:val="0"/>
                <w:szCs w:val="21"/>
              </w:rPr>
              <w:t>，应在“政采云”平台完成信息注册，注册链接如下：https://middle.zcygov.cn/settle-front/#/registry，或点击广西政府采购网首页的“供应商注册”。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18</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rFonts w:hint="eastAsia"/>
                <w:szCs w:val="21"/>
              </w:rPr>
              <w:t>合同签订及履行</w:t>
            </w:r>
          </w:p>
        </w:tc>
        <w:tc>
          <w:tcPr>
            <w:tcW w:w="7228"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（1）中标人拒绝与采购人签订合同的，采购人可以按照评审报告推荐的中标候选人名单排序，确定下一候选人为中标人，也可以重新开展政府采购活动。</w:t>
            </w:r>
          </w:p>
          <w:p>
            <w:pPr>
              <w:rPr>
                <w:szCs w:val="21"/>
              </w:rPr>
            </w:pPr>
            <w:r>
              <w:rPr>
                <w:rFonts w:hint="eastAsia"/>
                <w:szCs w:val="21"/>
              </w:rPr>
              <w:t>（2）采购人应当按照招标文件和中标人投标文件的规定，与中标人签订书面合同。所签订的合同不得对招标文件确定的事项和中标人投标文件作实质性修改。</w:t>
            </w:r>
            <w:r>
              <w:rPr>
                <w:szCs w:val="21"/>
              </w:rPr>
              <w:t>采购人应当自政府采购合同签订之日起2个工作日内，将政府采购合同在省级以上人民政府财政部门指定的媒体上公告，但政府采购合同中涉及国家秘密、商业秘密的内容除外。</w:t>
            </w:r>
            <w:r>
              <w:rPr>
                <w:rFonts w:hint="eastAsia"/>
                <w:szCs w:val="21"/>
              </w:rPr>
              <w:t>政府采购合同应当包括采购人与中标人的名称和住所、标的、数量、质量、价款或者报酬、履行期限及地点和方式、验收要求、违约责任、解决争议的方法等内容。</w:t>
            </w:r>
          </w:p>
          <w:p>
            <w:pPr>
              <w:rPr>
                <w:szCs w:val="21"/>
              </w:rPr>
            </w:pPr>
            <w:r>
              <w:rPr>
                <w:rFonts w:hint="eastAsia"/>
                <w:szCs w:val="21"/>
              </w:rPr>
              <w:t>（3）</w:t>
            </w:r>
            <w:r>
              <w:rPr>
                <w:szCs w:val="21"/>
              </w:rPr>
              <w:t>采购人与中标人签订合同后，</w:t>
            </w:r>
            <w:r>
              <w:rPr>
                <w:rFonts w:hint="eastAsia"/>
                <w:szCs w:val="21"/>
              </w:rPr>
              <w:t>政府采购合同的履行、违约责任和解决争议的方法等适用《中华人民共和国合同法》。</w:t>
            </w:r>
            <w:r>
              <w:rPr>
                <w:szCs w:val="21"/>
              </w:rPr>
              <w:t>合同双方应严格执行合同条款，履行合同规定的义务，保证合同的顺利完成。</w:t>
            </w:r>
            <w:r>
              <w:rPr>
                <w:rFonts w:hint="eastAsia"/>
                <w:szCs w:val="21"/>
              </w:rPr>
              <w:t>双方均不得擅自变更、中止或者终止政府采购合同。</w:t>
            </w:r>
          </w:p>
          <w:p>
            <w:pPr>
              <w:spacing w:line="300" w:lineRule="exact"/>
              <w:jc w:val="left"/>
              <w:rPr>
                <w:szCs w:val="21"/>
              </w:rPr>
            </w:pPr>
            <w:r>
              <w:rPr>
                <w:rFonts w:hint="eastAsia"/>
                <w:szCs w:val="21"/>
              </w:rPr>
              <w:t>（4）对于中标人履约验收不合格、双方解除合同的情况，应当按照合同法有关规定或者合同约定执行，原则上不得顺延确定中标人。需要重新选定供应商的，应当重新开展采购活动。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19</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rFonts w:hint="eastAsia"/>
                <w:szCs w:val="21"/>
              </w:rPr>
              <w:t>质疑</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rFonts w:hint="eastAsia"/>
                <w:szCs w:val="21"/>
              </w:rPr>
              <w:t>（1）供应商</w:t>
            </w:r>
            <w:r>
              <w:rPr>
                <w:szCs w:val="21"/>
              </w:rPr>
              <w:t>认为招标文件、招标过程、中标结果使自己的权益受到损害的，可以在知道或者应知其权益受到损害之日起7个工作日内，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pPr>
              <w:spacing w:line="300" w:lineRule="exact"/>
              <w:jc w:val="left"/>
              <w:rPr>
                <w:color w:val="auto"/>
                <w:szCs w:val="21"/>
              </w:rPr>
            </w:pPr>
            <w:r>
              <w:rPr>
                <w:rFonts w:hint="eastAsia"/>
                <w:szCs w:val="21"/>
              </w:rPr>
              <w:t>（2）疫情期间</w:t>
            </w:r>
            <w:r>
              <w:rPr>
                <w:szCs w:val="21"/>
              </w:rPr>
              <w:t>本项目不接受以</w:t>
            </w:r>
            <w:r>
              <w:rPr>
                <w:rFonts w:hint="eastAsia"/>
                <w:szCs w:val="21"/>
              </w:rPr>
              <w:t>现场递交、</w:t>
            </w:r>
            <w:r>
              <w:rPr>
                <w:szCs w:val="21"/>
              </w:rPr>
              <w:t>传真、移动通信等</w:t>
            </w:r>
            <w:r>
              <w:rPr>
                <w:rFonts w:hint="eastAsia"/>
                <w:szCs w:val="21"/>
              </w:rPr>
              <w:t>方式</w:t>
            </w:r>
            <w:r>
              <w:rPr>
                <w:szCs w:val="21"/>
              </w:rPr>
              <w:t>送达的质疑材</w:t>
            </w:r>
            <w:r>
              <w:rPr>
                <w:color w:val="auto"/>
                <w:szCs w:val="21"/>
              </w:rPr>
              <w:t>料</w:t>
            </w:r>
            <w:r>
              <w:rPr>
                <w:rFonts w:hint="eastAsia"/>
                <w:color w:val="auto"/>
                <w:szCs w:val="21"/>
              </w:rPr>
              <w:t>，供应商可通过以下方式递交质疑材料。</w:t>
            </w:r>
          </w:p>
          <w:p>
            <w:pPr>
              <w:spacing w:line="300" w:lineRule="exact"/>
              <w:jc w:val="left"/>
              <w:rPr>
                <w:color w:val="auto"/>
                <w:szCs w:val="21"/>
              </w:rPr>
            </w:pPr>
            <w:r>
              <w:rPr>
                <w:color w:val="auto"/>
                <w:szCs w:val="21"/>
              </w:rPr>
              <w:sym w:font="Wingdings 2" w:char="00A3"/>
            </w:r>
            <w:r>
              <w:rPr>
                <w:rFonts w:hint="eastAsia"/>
                <w:color w:val="auto"/>
                <w:szCs w:val="21"/>
              </w:rPr>
              <w:t>通过电子交易平台形式递交</w:t>
            </w:r>
          </w:p>
          <w:p>
            <w:pPr>
              <w:spacing w:line="300" w:lineRule="exact"/>
              <w:jc w:val="left"/>
              <w:rPr>
                <w:color w:val="auto"/>
                <w:szCs w:val="21"/>
              </w:rPr>
            </w:pPr>
            <w:r>
              <w:rPr>
                <w:color w:val="auto"/>
                <w:szCs w:val="21"/>
              </w:rPr>
              <w:sym w:font="Wingdings 2" w:char="0052"/>
            </w:r>
            <w:r>
              <w:rPr>
                <w:rFonts w:hint="eastAsia"/>
                <w:color w:val="auto"/>
                <w:szCs w:val="21"/>
              </w:rPr>
              <w:t>通过邮寄形式递交</w:t>
            </w:r>
          </w:p>
          <w:p>
            <w:pPr>
              <w:spacing w:line="300" w:lineRule="exact"/>
              <w:jc w:val="left"/>
              <w:rPr>
                <w:color w:val="auto"/>
                <w:szCs w:val="21"/>
              </w:rPr>
            </w:pPr>
            <w:r>
              <w:rPr>
                <w:color w:val="auto"/>
                <w:szCs w:val="21"/>
              </w:rPr>
              <w:sym w:font="Wingdings 2" w:char="F0A3"/>
            </w:r>
            <w:r>
              <w:rPr>
                <w:rFonts w:hint="eastAsia"/>
                <w:color w:val="auto"/>
                <w:szCs w:val="21"/>
              </w:rPr>
              <w:t>通过电子交易平台与邮寄形式同时递交</w:t>
            </w:r>
          </w:p>
          <w:p>
            <w:pPr>
              <w:spacing w:line="300" w:lineRule="exact"/>
              <w:jc w:val="left"/>
              <w:rPr>
                <w:color w:val="auto"/>
                <w:szCs w:val="21"/>
              </w:rPr>
            </w:pPr>
            <w:r>
              <w:rPr>
                <w:rFonts w:hint="eastAsia"/>
                <w:color w:val="auto"/>
                <w:szCs w:val="21"/>
              </w:rPr>
              <w:t>通过电子交易平台提交需进入电子交易平台，在已参加项目中选择本项目，在投标业务中选择对应功能菜单进行操作，供应商应同时上传质疑函原件扫描件。</w:t>
            </w:r>
          </w:p>
          <w:p>
            <w:pPr>
              <w:spacing w:line="300" w:lineRule="exact"/>
              <w:ind w:firstLine="420" w:firstLineChars="200"/>
              <w:jc w:val="left"/>
              <w:rPr>
                <w:szCs w:val="21"/>
              </w:rPr>
            </w:pPr>
            <w:r>
              <w:rPr>
                <w:rFonts w:hint="eastAsia"/>
                <w:color w:val="auto"/>
                <w:szCs w:val="21"/>
              </w:rPr>
              <w:t>通过邮寄形式的供应商应于质疑有效期内将质疑函原件密封并快递至广西南宁市金湖路63号金源CBD现代城7层广西机电设备招标有限公司招标</w:t>
            </w:r>
            <w:r>
              <w:rPr>
                <w:rFonts w:hint="eastAsia"/>
                <w:color w:val="auto"/>
                <w:szCs w:val="21"/>
                <w:lang w:eastAsia="zh-CN"/>
              </w:rPr>
              <w:t>五</w:t>
            </w:r>
            <w:r>
              <w:rPr>
                <w:rFonts w:hint="eastAsia"/>
                <w:color w:val="auto"/>
                <w:szCs w:val="21"/>
              </w:rPr>
              <w:t>部项目负责人收，发送快递时请注明内容为“供应商名称+关于+项目名称+质疑函”。供应商应合理估计</w:t>
            </w:r>
            <w:r>
              <w:rPr>
                <w:rFonts w:hint="eastAsia"/>
                <w:szCs w:val="21"/>
              </w:rPr>
              <w:t>快递时间以确保按时寄达，逾期送达的质疑材料将予以拒收。</w:t>
            </w:r>
            <w:r>
              <w:rPr>
                <w:szCs w:val="21"/>
              </w:rPr>
              <w:t>质疑联系</w:t>
            </w:r>
            <w:r>
              <w:rPr>
                <w:rFonts w:hint="eastAsia"/>
                <w:szCs w:val="21"/>
              </w:rPr>
              <w:t>方式：详见采购公告采购代理机构联系信息。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20</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szCs w:val="21"/>
              </w:rPr>
              <w:t>词语定义或说明</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rFonts w:hint="eastAsia"/>
                <w:szCs w:val="21"/>
              </w:rPr>
              <w:t>（1）</w:t>
            </w:r>
            <w:r>
              <w:rPr>
                <w:szCs w:val="21"/>
              </w:rPr>
              <w:t>“供应商”系指响应招标、参加投标竞争的法人、其他组织或者自然人。法人包括企业法人、机关法人、事业单位法人和社会团体法人。其他组织包括合伙企业、非企业专业服务机构、个体工商户、农村承包经营户及国家有关法律法规规定的组织。自然人是指中国公民。</w:t>
            </w:r>
          </w:p>
          <w:p>
            <w:pPr>
              <w:spacing w:line="300" w:lineRule="exact"/>
              <w:jc w:val="left"/>
              <w:rPr>
                <w:szCs w:val="21"/>
              </w:rPr>
            </w:pPr>
            <w:r>
              <w:rPr>
                <w:rFonts w:hint="eastAsia"/>
                <w:szCs w:val="21"/>
              </w:rPr>
              <w:t>（2）</w:t>
            </w:r>
            <w:r>
              <w:rPr>
                <w:szCs w:val="21"/>
              </w:rPr>
              <w:t>本</w:t>
            </w:r>
            <w:r>
              <w:rPr>
                <w:rFonts w:hint="eastAsia"/>
                <w:szCs w:val="21"/>
              </w:rPr>
              <w:t>文件</w:t>
            </w:r>
            <w:r>
              <w:rPr>
                <w:szCs w:val="21"/>
              </w:rPr>
              <w:t>中的</w:t>
            </w:r>
            <w:r>
              <w:rPr>
                <w:rFonts w:hint="eastAsia"/>
                <w:szCs w:val="21"/>
              </w:rPr>
              <w:t>“法定代表人”若无特别说明，当</w:t>
            </w:r>
            <w:r>
              <w:rPr>
                <w:szCs w:val="21"/>
              </w:rPr>
              <w:t>供应商是</w:t>
            </w:r>
            <w:r>
              <w:rPr>
                <w:rFonts w:hint="eastAsia"/>
                <w:szCs w:val="21"/>
              </w:rPr>
              <w:t>企业的，是指企业法人营业执照上的法定代表人；当</w:t>
            </w:r>
            <w:r>
              <w:rPr>
                <w:szCs w:val="21"/>
              </w:rPr>
              <w:t>供应商是</w:t>
            </w:r>
            <w:r>
              <w:rPr>
                <w:rFonts w:hint="eastAsia"/>
                <w:szCs w:val="21"/>
              </w:rPr>
              <w:t>事业单位的，是指事业单位法人证书上的法定代表人；当</w:t>
            </w:r>
            <w:r>
              <w:rPr>
                <w:szCs w:val="21"/>
              </w:rPr>
              <w:t>供应商是</w:t>
            </w:r>
            <w:r>
              <w:rPr>
                <w:rFonts w:hint="eastAsia"/>
                <w:szCs w:val="21"/>
              </w:rPr>
              <w:t>社会团体、民办非企业的，是指法人登记证书中的法定代表人；当</w:t>
            </w:r>
            <w:r>
              <w:rPr>
                <w:szCs w:val="21"/>
              </w:rPr>
              <w:t>供应商是</w:t>
            </w:r>
            <w:r>
              <w:rPr>
                <w:rFonts w:hint="eastAsia"/>
                <w:szCs w:val="21"/>
              </w:rPr>
              <w:t>个体工商户的，是指个体工商户营业执照上的经营者；</w:t>
            </w:r>
            <w:r>
              <w:rPr>
                <w:szCs w:val="21"/>
              </w:rPr>
              <w:t>当供应商是自然人</w:t>
            </w:r>
            <w:r>
              <w:rPr>
                <w:rFonts w:hint="eastAsia"/>
                <w:szCs w:val="21"/>
              </w:rPr>
              <w:t>的，是指参与本项目响应的自然人本人。</w:t>
            </w:r>
          </w:p>
          <w:p>
            <w:pPr>
              <w:spacing w:line="300" w:lineRule="exact"/>
              <w:jc w:val="left"/>
              <w:rPr>
                <w:szCs w:val="21"/>
              </w:rPr>
            </w:pPr>
            <w:r>
              <w:rPr>
                <w:rFonts w:hint="eastAsia"/>
                <w:szCs w:val="21"/>
              </w:rPr>
              <w:t>（3）</w:t>
            </w:r>
            <w:r>
              <w:rPr>
                <w:szCs w:val="21"/>
              </w:rPr>
              <w:t xml:space="preserve">“书面形式”如无特殊规定，“书面形式”是指信函和数据电文（包括传真和电子邮件）等可以有形地表现所载内容的形式。招标文件如有特殊规定，以招标文件规定为准。 </w:t>
            </w:r>
          </w:p>
          <w:p>
            <w:pPr>
              <w:spacing w:line="300" w:lineRule="exact"/>
              <w:jc w:val="left"/>
              <w:rPr>
                <w:b/>
                <w:bCs/>
                <w:szCs w:val="21"/>
              </w:rPr>
            </w:pPr>
            <w:r>
              <w:rPr>
                <w:rFonts w:hint="eastAsia"/>
                <w:szCs w:val="21"/>
              </w:rPr>
              <w:t>（4）</w:t>
            </w:r>
            <w:r>
              <w:rPr>
                <w:rFonts w:hint="eastAsia"/>
                <w:b/>
                <w:bCs/>
                <w:szCs w:val="21"/>
              </w:rPr>
              <w:t>本项目的技术商务要求</w:t>
            </w:r>
            <w:r>
              <w:rPr>
                <w:rFonts w:hint="eastAsia" w:ascii="宋体" w:hAnsi="宋体"/>
                <w:b/>
                <w:bCs/>
                <w:szCs w:val="21"/>
              </w:rPr>
              <w:t>重要性分为“▲”（如有）、“#”（如有）和一般无标识指标。▲代表实质性</w:t>
            </w:r>
            <w:r>
              <w:rPr>
                <w:rFonts w:ascii="宋体" w:hAnsi="宋体"/>
                <w:b/>
                <w:bCs/>
                <w:szCs w:val="21"/>
              </w:rPr>
              <w:t>要求</w:t>
            </w:r>
            <w:r>
              <w:rPr>
                <w:rFonts w:hint="eastAsia" w:ascii="宋体" w:hAnsi="宋体"/>
                <w:b/>
                <w:bCs/>
                <w:szCs w:val="21"/>
              </w:rPr>
              <w:t>指标，不满足该指标项将导致投标被否决，#代表重要指标，无标识则表示一般指标项。</w:t>
            </w:r>
          </w:p>
          <w:p>
            <w:pPr>
              <w:rPr>
                <w:szCs w:val="21"/>
              </w:rPr>
            </w:pPr>
            <w:r>
              <w:rPr>
                <w:rFonts w:hint="eastAsia"/>
                <w:szCs w:val="21"/>
              </w:rPr>
              <w:t>（5）本</w:t>
            </w:r>
            <w:r>
              <w:rPr>
                <w:szCs w:val="21"/>
              </w:rPr>
              <w:t>招标文件</w:t>
            </w:r>
            <w:r>
              <w:rPr>
                <w:rFonts w:hint="eastAsia"/>
                <w:szCs w:val="21"/>
              </w:rPr>
              <w:t>出现多种选项的地方，以“</w:t>
            </w:r>
            <w:r>
              <w:rPr>
                <w:szCs w:val="21"/>
              </w:rPr>
              <w:sym w:font="Wingdings 2" w:char="F052"/>
            </w:r>
            <w:r>
              <w:rPr>
                <w:rFonts w:hint="eastAsia"/>
                <w:szCs w:val="21"/>
              </w:rPr>
              <w:t>”表示本项目所选择的方式。</w:t>
            </w:r>
          </w:p>
          <w:p>
            <w:pPr>
              <w:rPr>
                <w:szCs w:val="21"/>
              </w:rPr>
            </w:pPr>
            <w:r>
              <w:rPr>
                <w:rFonts w:hint="eastAsia"/>
                <w:szCs w:val="21"/>
              </w:rPr>
              <w:t>（6）</w:t>
            </w:r>
            <w:r>
              <w:rPr>
                <w:szCs w:val="21"/>
              </w:rPr>
              <w:t>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pPr>
              <w:rPr>
                <w:szCs w:val="21"/>
              </w:rPr>
            </w:pPr>
            <w:r>
              <w:rPr>
                <w:rFonts w:hint="eastAsia"/>
                <w:szCs w:val="21"/>
              </w:rPr>
              <w:t>（7）</w:t>
            </w:r>
            <w:r>
              <w:rPr>
                <w:szCs w:val="21"/>
              </w:rPr>
              <w:t>本项目所有投标文件均不予退还。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rFonts w:hint="eastAsia"/>
                <w:b/>
                <w:szCs w:val="21"/>
              </w:rPr>
              <w:t>2</w:t>
            </w:r>
            <w:r>
              <w:rPr>
                <w:b/>
                <w:szCs w:val="21"/>
              </w:rPr>
              <w:t>1</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rFonts w:hint="eastAsia"/>
                <w:szCs w:val="21"/>
              </w:rPr>
              <w:t>响应表说明</w:t>
            </w:r>
          </w:p>
        </w:tc>
        <w:tc>
          <w:tcPr>
            <w:tcW w:w="722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rFonts w:hint="eastAsia"/>
                <w:szCs w:val="21"/>
              </w:rPr>
              <w:t>供应商根据采购需求中技术参数为基准，填写响应表，对于响应表或证明材料与技术参数不符的，按如下规定：</w:t>
            </w:r>
          </w:p>
          <w:p>
            <w:pPr>
              <w:spacing w:line="300" w:lineRule="exact"/>
              <w:jc w:val="left"/>
              <w:rPr>
                <w:szCs w:val="21"/>
              </w:rPr>
            </w:pPr>
            <w:r>
              <w:rPr>
                <w:rFonts w:hint="eastAsia"/>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pPr>
              <w:spacing w:line="300" w:lineRule="exact"/>
              <w:jc w:val="left"/>
              <w:rPr>
                <w:szCs w:val="21"/>
              </w:rPr>
            </w:pPr>
            <w:r>
              <w:rPr>
                <w:rFonts w:hint="eastAsia"/>
                <w:szCs w:val="21"/>
              </w:rPr>
              <w:t>2、响应表中响应的内容与证明材料不一致的，以证明材料为准作为评审依据。</w:t>
            </w:r>
          </w:p>
          <w:p>
            <w:pPr>
              <w:pStyle w:val="14"/>
            </w:pPr>
            <w:r>
              <w:rPr>
                <w:szCs w:val="21"/>
              </w:rPr>
              <w:t>3</w:t>
            </w:r>
            <w:r>
              <w:rPr>
                <w:rFonts w:hint="eastAsia"/>
                <w:szCs w:val="21"/>
              </w:rPr>
              <w:t>、</w:t>
            </w:r>
            <w:r>
              <w:rPr>
                <w:rFonts w:hint="eastAsia"/>
              </w:rPr>
              <w:t>响应表与采购需求中技术参数比较有漏项的，如为实质性参数漏项，视为未响应；如为非实质性参数漏项，视为负偏离。</w:t>
            </w:r>
          </w:p>
          <w:p>
            <w:pPr>
              <w:spacing w:line="300" w:lineRule="exact"/>
              <w:jc w:val="left"/>
              <w:rPr>
                <w:szCs w:val="21"/>
              </w:rPr>
            </w:pPr>
            <w:r>
              <w:rPr>
                <w:szCs w:val="21"/>
              </w:rPr>
              <w:t>4</w:t>
            </w:r>
            <w:r>
              <w:rPr>
                <w:rFonts w:hint="eastAsia"/>
                <w:szCs w:val="21"/>
              </w:rPr>
              <w:t>、一项技术参数有多条小项要求的，必须全部响应。如只响应部分参数，视为负偏离。评审时以每一条技术参数为评审依据。</w:t>
            </w:r>
          </w:p>
          <w:p>
            <w:pPr>
              <w:spacing w:line="300" w:lineRule="exact"/>
              <w:jc w:val="left"/>
              <w:rPr>
                <w:szCs w:val="21"/>
              </w:rPr>
            </w:pPr>
            <w:r>
              <w:rPr>
                <w:rFonts w:hint="eastAsia"/>
                <w:szCs w:val="21"/>
              </w:rPr>
              <w:t>5、对于区间涵盖值参数，例：电压“测量精度</w:t>
            </w:r>
            <w:r>
              <w:rPr>
                <w:szCs w:val="21"/>
              </w:rPr>
              <w:t>3V-5V</w:t>
            </w:r>
            <w:r>
              <w:rPr>
                <w:rFonts w:hint="eastAsia"/>
                <w:szCs w:val="21"/>
              </w:rPr>
              <w:t>”，同时满足下限值更低及上限值更高才视为正偏离，例：响应为“测量精度</w:t>
            </w:r>
            <w:r>
              <w:rPr>
                <w:szCs w:val="21"/>
              </w:rPr>
              <w:t>2V-6V”</w:t>
            </w:r>
            <w:r>
              <w:rPr>
                <w:rFonts w:hint="eastAsia"/>
                <w:szCs w:val="21"/>
              </w:rPr>
              <w:t>。如有一端负偏离，不管另一端如何，均视为负偏离，例：响应为“测量精度4</w:t>
            </w:r>
            <w:r>
              <w:rPr>
                <w:szCs w:val="21"/>
              </w:rPr>
              <w:t>V-6V</w:t>
            </w:r>
            <w:r>
              <w:rPr>
                <w:rFonts w:hint="eastAsia"/>
                <w:szCs w:val="21"/>
              </w:rPr>
              <w:t>”。</w:t>
            </w:r>
          </w:p>
          <w:p>
            <w:pPr>
              <w:spacing w:line="300" w:lineRule="exact"/>
              <w:jc w:val="left"/>
              <w:rPr>
                <w:szCs w:val="21"/>
              </w:rPr>
            </w:pPr>
            <w:r>
              <w:rPr>
                <w:rFonts w:hint="eastAsia"/>
                <w:szCs w:val="21"/>
              </w:rPr>
              <w:t>6、对于区间任意值参数，如“</w:t>
            </w:r>
            <w:r>
              <w:rPr>
                <w:szCs w:val="21"/>
              </w:rPr>
              <w:t>5</w:t>
            </w:r>
            <w:r>
              <w:rPr>
                <w:rFonts w:hint="eastAsia"/>
                <w:szCs w:val="21"/>
              </w:rPr>
              <w:t>m</w:t>
            </w:r>
            <w:r>
              <w:rPr>
                <w:szCs w:val="21"/>
              </w:rPr>
              <w:t>m</w:t>
            </w:r>
            <w:r>
              <w:rPr>
                <w:rFonts w:hint="eastAsia"/>
                <w:szCs w:val="21"/>
              </w:rPr>
              <w:t>≤间距≤1</w:t>
            </w:r>
            <w:r>
              <w:rPr>
                <w:szCs w:val="21"/>
              </w:rPr>
              <w:t>0</w:t>
            </w:r>
            <w:r>
              <w:rPr>
                <w:rFonts w:hint="eastAsia"/>
                <w:szCs w:val="21"/>
              </w:rPr>
              <w:t>m</w:t>
            </w:r>
            <w:r>
              <w:rPr>
                <w:szCs w:val="21"/>
              </w:rPr>
              <w:t>m</w:t>
            </w:r>
            <w:r>
              <w:rPr>
                <w:rFonts w:hint="eastAsia"/>
                <w:szCs w:val="21"/>
              </w:rPr>
              <w:t>”，若间距响应值为</w:t>
            </w:r>
            <w:r>
              <w:rPr>
                <w:szCs w:val="21"/>
              </w:rPr>
              <w:t>5</w:t>
            </w:r>
            <w:r>
              <w:rPr>
                <w:rFonts w:hint="eastAsia"/>
                <w:szCs w:val="21"/>
              </w:rPr>
              <w:t>m</w:t>
            </w:r>
            <w:r>
              <w:rPr>
                <w:szCs w:val="21"/>
              </w:rPr>
              <w:t>m-10mm</w:t>
            </w:r>
            <w:r>
              <w:rPr>
                <w:rFonts w:hint="eastAsia"/>
                <w:szCs w:val="21"/>
              </w:rPr>
              <w:t>中任意一个数值（含本数）时为无偏离；超过区间范围视为负偏离；此类参数不存在正偏离。</w:t>
            </w:r>
          </w:p>
          <w:p>
            <w:pPr>
              <w:spacing w:line="300" w:lineRule="exact"/>
              <w:jc w:val="left"/>
              <w:rPr>
                <w:szCs w:val="21"/>
              </w:rPr>
            </w:pPr>
            <w:r>
              <w:rPr>
                <w:rFonts w:hint="eastAsia"/>
                <w:szCs w:val="21"/>
              </w:rPr>
              <w:t>7、对于“≥5</w:t>
            </w:r>
            <w:r>
              <w:rPr>
                <w:szCs w:val="21"/>
              </w:rPr>
              <w:t>0CM”</w:t>
            </w:r>
            <w:r>
              <w:rPr>
                <w:rFonts w:hint="eastAsia"/>
                <w:szCs w:val="21"/>
              </w:rPr>
              <w:t>参数的要求，若响应为5</w:t>
            </w:r>
            <w:r>
              <w:rPr>
                <w:szCs w:val="21"/>
              </w:rPr>
              <w:t>0 CM</w:t>
            </w:r>
            <w:r>
              <w:rPr>
                <w:rFonts w:hint="eastAsia"/>
                <w:szCs w:val="21"/>
              </w:rPr>
              <w:t>及5</w:t>
            </w:r>
            <w:r>
              <w:rPr>
                <w:szCs w:val="21"/>
              </w:rPr>
              <w:t>0CM</w:t>
            </w:r>
            <w:r>
              <w:rPr>
                <w:rFonts w:hint="eastAsia"/>
                <w:szCs w:val="21"/>
              </w:rPr>
              <w:t>以上，均视为无偏离，；若响应小于5</w:t>
            </w:r>
            <w:r>
              <w:rPr>
                <w:szCs w:val="21"/>
              </w:rPr>
              <w:t>0CM</w:t>
            </w:r>
            <w:r>
              <w:rPr>
                <w:rFonts w:hint="eastAsia"/>
                <w:szCs w:val="21"/>
              </w:rPr>
              <w:t>，视为负偏离。此项参数无正偏离。</w:t>
            </w:r>
          </w:p>
          <w:p>
            <w:pPr>
              <w:spacing w:line="300" w:lineRule="exact"/>
              <w:jc w:val="left"/>
              <w:rPr>
                <w:szCs w:val="21"/>
              </w:rPr>
            </w:pPr>
            <w:r>
              <w:rPr>
                <w:rFonts w:hint="eastAsia"/>
                <w:szCs w:val="21"/>
              </w:rPr>
              <w:t>8、对于固定参数，响应与招标参数一致，视为无偏离，其他均视为负偏离，此项参数无正偏离。</w:t>
            </w:r>
          </w:p>
          <w:p>
            <w:pPr>
              <w:spacing w:line="300" w:lineRule="exact"/>
              <w:jc w:val="left"/>
              <w:rPr>
                <w:szCs w:val="21"/>
              </w:rPr>
            </w:pPr>
            <w:r>
              <w:rPr>
                <w:szCs w:val="21"/>
              </w:rPr>
              <w:t>9</w:t>
            </w:r>
            <w:r>
              <w:rPr>
                <w:rFonts w:hint="eastAsia"/>
                <w:szCs w:val="21"/>
              </w:rPr>
              <w:t>、如采购需求中技术参数有特殊要求与上述说明不一致的，以特殊要求为准。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4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22</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Cs w:val="21"/>
              </w:rPr>
            </w:pPr>
            <w:r>
              <w:rPr>
                <w:szCs w:val="20"/>
              </w:rPr>
              <w:t>代理服务费</w:t>
            </w:r>
          </w:p>
        </w:tc>
        <w:tc>
          <w:tcPr>
            <w:tcW w:w="7228"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（1）</w:t>
            </w:r>
            <w:r>
              <w:rPr>
                <w:szCs w:val="20"/>
              </w:rPr>
              <w:t>代理服务费</w:t>
            </w:r>
          </w:p>
          <w:p>
            <w:pPr>
              <w:spacing w:line="300" w:lineRule="exact"/>
              <w:jc w:val="left"/>
              <w:rPr>
                <w:szCs w:val="21"/>
              </w:rPr>
            </w:pPr>
            <w:r>
              <w:rPr>
                <w:color w:val="4472C4"/>
                <w:szCs w:val="21"/>
              </w:rPr>
              <w:sym w:font="Wingdings 2" w:char="F052"/>
            </w:r>
            <w:r>
              <w:rPr>
                <w:szCs w:val="21"/>
              </w:rPr>
              <w:t>采购代理机构向中标人收取代理服务费。本项目代理服务费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szCs w:val="21"/>
              </w:rPr>
              <w:t>具体费率</w:t>
            </w:r>
            <w:r>
              <w:rPr>
                <w:rFonts w:hint="eastAsia"/>
                <w:szCs w:val="21"/>
              </w:rPr>
              <w:t>如下：</w:t>
            </w:r>
          </w:p>
          <w:p>
            <w:pPr>
              <w:spacing w:line="300" w:lineRule="exact"/>
              <w:jc w:val="left"/>
              <w:rPr>
                <w:szCs w:val="21"/>
              </w:rPr>
            </w:pPr>
            <w:r>
              <w:rPr>
                <w:rFonts w:hint="eastAsia"/>
                <w:szCs w:val="21"/>
              </w:rPr>
              <w:t>①招标金额在1</w:t>
            </w:r>
            <w:r>
              <w:rPr>
                <w:szCs w:val="21"/>
              </w:rPr>
              <w:t>00</w:t>
            </w:r>
            <w:r>
              <w:rPr>
                <w:rFonts w:hint="eastAsia"/>
                <w:szCs w:val="21"/>
              </w:rPr>
              <w:t>万元以下的：</w:t>
            </w:r>
          </w:p>
          <w:p>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pPr>
              <w:spacing w:line="300" w:lineRule="exact"/>
              <w:jc w:val="left"/>
              <w:rPr>
                <w:szCs w:val="21"/>
              </w:rPr>
            </w:pPr>
            <w:r>
              <w:rPr>
                <w:rFonts w:hint="eastAsia"/>
                <w:szCs w:val="21"/>
              </w:rPr>
              <w:t>②招标金额在</w:t>
            </w:r>
            <w:r>
              <w:rPr>
                <w:szCs w:val="21"/>
              </w:rPr>
              <w:t>100-500</w:t>
            </w:r>
            <w:r>
              <w:rPr>
                <w:rFonts w:hint="eastAsia"/>
                <w:szCs w:val="21"/>
              </w:rPr>
              <w:t>万元之间：</w:t>
            </w:r>
          </w:p>
          <w:p>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pPr>
              <w:spacing w:line="300" w:lineRule="exact"/>
              <w:jc w:val="left"/>
              <w:rPr>
                <w:szCs w:val="21"/>
              </w:rPr>
            </w:pPr>
            <w:r>
              <w:rPr>
                <w:rFonts w:hint="eastAsia"/>
                <w:szCs w:val="21"/>
              </w:rPr>
              <w:t>③招标金额在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pPr>
              <w:spacing w:line="300" w:lineRule="exact"/>
              <w:jc w:val="left"/>
              <w:rPr>
                <w:szCs w:val="21"/>
              </w:rPr>
            </w:pPr>
            <w:r>
              <w:rPr>
                <w:rFonts w:hint="eastAsia"/>
                <w:szCs w:val="21"/>
              </w:rPr>
              <w:t>④招标金额在</w:t>
            </w:r>
            <w:r>
              <w:rPr>
                <w:szCs w:val="21"/>
              </w:rPr>
              <w:t>1000-5000</w:t>
            </w:r>
            <w:r>
              <w:rPr>
                <w:rFonts w:hint="eastAsia"/>
                <w:szCs w:val="21"/>
              </w:rPr>
              <w:t>万元之间：</w:t>
            </w:r>
          </w:p>
          <w:p>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pPr>
              <w:spacing w:line="300" w:lineRule="exact"/>
              <w:jc w:val="left"/>
              <w:rPr>
                <w:szCs w:val="21"/>
              </w:rPr>
            </w:pPr>
            <w:r>
              <w:rPr>
                <w:rFonts w:hint="eastAsia"/>
                <w:szCs w:val="21"/>
              </w:rPr>
              <w:t>……</w:t>
            </w:r>
          </w:p>
          <w:p>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pPr>
              <w:spacing w:line="300" w:lineRule="exact"/>
              <w:jc w:val="left"/>
              <w:rPr>
                <w:szCs w:val="21"/>
              </w:rPr>
            </w:pPr>
            <w:r>
              <w:rPr>
                <w:szCs w:val="21"/>
              </w:rPr>
              <w:t>例如：某货物招标代理业务成交金额为300万元，招标代理服务费金额按如下计算：</w:t>
            </w:r>
          </w:p>
          <w:p>
            <w:pPr>
              <w:spacing w:line="300" w:lineRule="exact"/>
              <w:jc w:val="left"/>
              <w:rPr>
                <w:color w:val="auto"/>
                <w:szCs w:val="21"/>
              </w:rPr>
            </w:pPr>
            <w:r>
              <w:rPr>
                <w:szCs w:val="21"/>
              </w:rPr>
              <w:t>100万</w:t>
            </w:r>
            <w:r>
              <w:rPr>
                <w:color w:val="auto"/>
                <w:szCs w:val="21"/>
              </w:rPr>
              <w:t>元×1.5%＝1.5万元</w:t>
            </w:r>
          </w:p>
          <w:p>
            <w:pPr>
              <w:spacing w:line="300" w:lineRule="exact"/>
              <w:jc w:val="left"/>
              <w:rPr>
                <w:color w:val="auto"/>
                <w:szCs w:val="21"/>
              </w:rPr>
            </w:pPr>
            <w:r>
              <w:rPr>
                <w:color w:val="auto"/>
                <w:szCs w:val="21"/>
              </w:rPr>
              <w:t>（300－100）万元×1.1%＝2.2万元</w:t>
            </w:r>
          </w:p>
          <w:p>
            <w:pPr>
              <w:spacing w:line="300" w:lineRule="exact"/>
              <w:jc w:val="left"/>
              <w:rPr>
                <w:color w:val="auto"/>
                <w:szCs w:val="21"/>
              </w:rPr>
            </w:pPr>
            <w:r>
              <w:rPr>
                <w:color w:val="auto"/>
                <w:szCs w:val="21"/>
              </w:rPr>
              <w:t>合计收费＝1.5＋2.2=3.7万元</w:t>
            </w:r>
          </w:p>
          <w:p>
            <w:pPr>
              <w:spacing w:line="300" w:lineRule="exact"/>
              <w:jc w:val="left"/>
              <w:rPr>
                <w:color w:val="auto"/>
                <w:szCs w:val="21"/>
                <w:u w:val="single"/>
              </w:rPr>
            </w:pPr>
            <w:r>
              <w:rPr>
                <w:color w:val="auto"/>
                <w:szCs w:val="21"/>
              </w:rPr>
              <w:sym w:font="Wingdings 2" w:char="F0A3"/>
            </w:r>
            <w:r>
              <w:rPr>
                <w:color w:val="auto"/>
                <w:szCs w:val="21"/>
              </w:rPr>
              <w:t>采购代理机构</w:t>
            </w:r>
            <w:r>
              <w:rPr>
                <w:color w:val="auto"/>
                <w:szCs w:val="20"/>
              </w:rPr>
              <w:t>向中标人收取代理服务费</w:t>
            </w:r>
            <w:r>
              <w:rPr>
                <w:rFonts w:hint="eastAsia"/>
                <w:color w:val="auto"/>
                <w:szCs w:val="20"/>
              </w:rPr>
              <w:t>，</w:t>
            </w:r>
            <w:r>
              <w:rPr>
                <w:color w:val="auto"/>
                <w:szCs w:val="20"/>
              </w:rPr>
              <w:t>具体金额为</w:t>
            </w:r>
            <w:r>
              <w:rPr>
                <w:rFonts w:hint="eastAsia"/>
                <w:color w:val="auto"/>
                <w:szCs w:val="20"/>
                <w:u w:val="single"/>
              </w:rPr>
              <w:t xml:space="preserve">             </w:t>
            </w:r>
            <w:r>
              <w:rPr>
                <w:rFonts w:hint="eastAsia"/>
                <w:color w:val="auto"/>
                <w:szCs w:val="20"/>
              </w:rPr>
              <w:t>。</w:t>
            </w:r>
          </w:p>
          <w:p>
            <w:pPr>
              <w:spacing w:line="300" w:lineRule="exact"/>
              <w:jc w:val="left"/>
              <w:rPr>
                <w:kern w:val="0"/>
                <w:szCs w:val="21"/>
              </w:rPr>
            </w:pPr>
            <w:r>
              <w:rPr>
                <w:color w:val="auto"/>
                <w:szCs w:val="21"/>
              </w:rPr>
              <w:t>（2）中标人在中标通知书发出前以银行转账或现金形式支付代理服</w:t>
            </w:r>
            <w:r>
              <w:rPr>
                <w:szCs w:val="21"/>
              </w:rPr>
              <w:t>务费；采购代理机构也可以从中标人的投标保证金中扣除上述金额的代理服务费，余款按供应商所汇入投标保证金的账户原路退回，如无法原路返回，则按《代理服务费承诺书》列明的账户退回。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23</w:t>
            </w:r>
          </w:p>
        </w:tc>
        <w:tc>
          <w:tcPr>
            <w:tcW w:w="8505" w:type="dxa"/>
            <w:gridSpan w:val="2"/>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24</w:t>
            </w:r>
          </w:p>
        </w:tc>
        <w:tc>
          <w:tcPr>
            <w:tcW w:w="850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t>本招标文件是根据国家有关法律及有关政策、法规和参照国际惯例编制，解释权属采购代理机构。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07"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b/>
                <w:szCs w:val="21"/>
              </w:rPr>
              <w:t>25</w:t>
            </w:r>
          </w:p>
        </w:tc>
        <w:tc>
          <w:tcPr>
            <w:tcW w:w="850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pPr>
            <w:r>
              <w:rPr>
                <w:rFonts w:hint="eastAsia"/>
              </w:rPr>
              <w:t>疫情防控要求：</w:t>
            </w:r>
          </w:p>
          <w:p>
            <w:pPr>
              <w:spacing w:line="300" w:lineRule="exact"/>
              <w:jc w:val="left"/>
            </w:pPr>
            <w:r>
              <w:rPr>
                <w:rFonts w:hint="eastAsia"/>
              </w:rPr>
              <w:t>1.疫情防控期间供应商须全程佩戴口罩，同时遵守采购代理机构现场开标评标的防控要求。</w:t>
            </w:r>
          </w:p>
          <w:p>
            <w:pPr>
              <w:spacing w:line="300" w:lineRule="exact"/>
              <w:jc w:val="left"/>
            </w:pPr>
            <w:r>
              <w:rPr>
                <w:rFonts w:hint="eastAsia"/>
              </w:rPr>
              <w:t>2.进入交易中心参加开标、评标的所有人员，应遵循当地交易中心的防控措施及相关要求。</w:t>
            </w:r>
          </w:p>
        </w:tc>
      </w:tr>
      <w:bookmarkEnd w:id="17"/>
    </w:tbl>
    <w:p>
      <w:pPr>
        <w:spacing w:before="120" w:line="320" w:lineRule="atLeast"/>
        <w:outlineLvl w:val="1"/>
        <w:rPr>
          <w:bCs/>
          <w:kern w:val="0"/>
          <w:sz w:val="28"/>
          <w:szCs w:val="28"/>
        </w:rPr>
        <w:sectPr>
          <w:headerReference r:id="rId13" w:type="first"/>
          <w:headerReference r:id="rId12" w:type="default"/>
          <w:pgSz w:w="11906" w:h="16838"/>
          <w:pgMar w:top="993" w:right="1133" w:bottom="1246" w:left="1418" w:header="851" w:footer="992" w:gutter="0"/>
          <w:cols w:space="720" w:num="1"/>
          <w:titlePg/>
          <w:docGrid w:linePitch="312" w:charSpace="0"/>
        </w:sectPr>
      </w:pPr>
    </w:p>
    <w:p>
      <w:pPr>
        <w:rPr>
          <w:szCs w:val="21"/>
        </w:rPr>
      </w:pPr>
    </w:p>
    <w:p>
      <w:pPr>
        <w:pStyle w:val="28"/>
        <w:snapToGrid w:val="0"/>
        <w:spacing w:before="120" w:after="120" w:line="320" w:lineRule="exact"/>
        <w:jc w:val="center"/>
        <w:outlineLvl w:val="0"/>
        <w:rPr>
          <w:rFonts w:ascii="Times New Roman" w:hAnsi="Times New Roman" w:cs="Times New Roman"/>
          <w:sz w:val="32"/>
          <w:szCs w:val="32"/>
        </w:rPr>
      </w:pPr>
      <w:bookmarkStart w:id="18" w:name="_Toc3819"/>
      <w:bookmarkStart w:id="19" w:name="_Toc254970549"/>
      <w:bookmarkStart w:id="20" w:name="_Toc254970690"/>
      <w:r>
        <w:rPr>
          <w:rFonts w:ascii="Times New Roman" w:hAnsi="Times New Roman" w:cs="Times New Roman"/>
          <w:sz w:val="32"/>
          <w:szCs w:val="32"/>
        </w:rPr>
        <w:t>第四章  评标方法及评标标准</w:t>
      </w:r>
      <w:bookmarkEnd w:id="18"/>
    </w:p>
    <w:p>
      <w:pPr>
        <w:spacing w:before="120" w:line="320" w:lineRule="atLeast"/>
        <w:ind w:firstLine="413" w:firstLineChars="196"/>
        <w:outlineLvl w:val="1"/>
        <w:rPr>
          <w:b/>
          <w:bCs/>
          <w:kern w:val="0"/>
          <w:szCs w:val="21"/>
        </w:rPr>
      </w:pPr>
      <w:r>
        <w:rPr>
          <w:b/>
          <w:bCs/>
          <w:kern w:val="0"/>
          <w:szCs w:val="21"/>
        </w:rPr>
        <w:t>一、评标方法</w:t>
      </w:r>
    </w:p>
    <w:p>
      <w:pPr>
        <w:spacing w:before="120" w:line="320" w:lineRule="atLeast"/>
        <w:ind w:firstLine="411" w:firstLineChars="196"/>
        <w:outlineLvl w:val="1"/>
        <w:rPr>
          <w:bCs/>
          <w:kern w:val="0"/>
          <w:szCs w:val="21"/>
        </w:rPr>
      </w:pPr>
      <w:r>
        <w:rPr>
          <w:rFonts w:hint="eastAsia"/>
          <w:bCs/>
          <w:kern w:val="0"/>
          <w:szCs w:val="21"/>
        </w:rPr>
        <w:t>1、</w:t>
      </w:r>
      <w:r>
        <w:rPr>
          <w:bCs/>
          <w:kern w:val="0"/>
          <w:szCs w:val="21"/>
        </w:rPr>
        <w:t>评标方法</w:t>
      </w:r>
    </w:p>
    <w:p>
      <w:pPr>
        <w:suppressAutoHyphens/>
        <w:spacing w:before="120" w:line="320" w:lineRule="atLeast"/>
        <w:ind w:firstLine="420" w:firstLineChars="200"/>
      </w:pPr>
      <w:r>
        <w:t>本项目采用综合评分法进行评标。综合评分法，是指投标文件满足招标文件全部实质性要求且按照评标因素的量化指标评标得分最高的供应商为中标候选人的评标方法。</w:t>
      </w:r>
    </w:p>
    <w:p>
      <w:pPr>
        <w:spacing w:before="120" w:line="320" w:lineRule="atLeast"/>
        <w:ind w:firstLine="411" w:firstLineChars="196"/>
        <w:outlineLvl w:val="1"/>
        <w:rPr>
          <w:szCs w:val="21"/>
        </w:rPr>
      </w:pPr>
      <w:r>
        <w:rPr>
          <w:rFonts w:hint="eastAsia"/>
          <w:szCs w:val="21"/>
        </w:rPr>
        <w:t>2、评标依据</w:t>
      </w:r>
    </w:p>
    <w:p>
      <w:pPr>
        <w:suppressAutoHyphens/>
        <w:spacing w:before="120" w:line="320" w:lineRule="atLeast"/>
        <w:ind w:firstLine="420" w:firstLineChars="200"/>
      </w:pPr>
      <w:r>
        <w:rPr>
          <w:rFonts w:hint="eastAsia"/>
        </w:rPr>
        <w:t>评标委员会</w:t>
      </w:r>
      <w:r>
        <w:t>以</w:t>
      </w:r>
      <w:r>
        <w:rPr>
          <w:rFonts w:hint="eastAsia"/>
        </w:rPr>
        <w:t>招标</w:t>
      </w:r>
      <w:r>
        <w:t>文件、补充文件、</w:t>
      </w:r>
      <w:r>
        <w:rPr>
          <w:rFonts w:hint="eastAsia"/>
        </w:rPr>
        <w:t>投标</w:t>
      </w:r>
      <w:r>
        <w:t>文件、澄清及答复为评</w:t>
      </w:r>
      <w:r>
        <w:rPr>
          <w:rFonts w:hint="eastAsia"/>
        </w:rPr>
        <w:t>标</w:t>
      </w:r>
      <w:r>
        <w:t>依据。</w:t>
      </w:r>
    </w:p>
    <w:p>
      <w:pPr>
        <w:spacing w:before="120" w:line="320" w:lineRule="atLeast"/>
        <w:ind w:firstLine="411" w:firstLineChars="196"/>
        <w:outlineLvl w:val="1"/>
        <w:rPr>
          <w:szCs w:val="21"/>
        </w:rPr>
      </w:pPr>
      <w:r>
        <w:rPr>
          <w:szCs w:val="21"/>
        </w:rPr>
        <w:t>3</w:t>
      </w:r>
      <w:r>
        <w:rPr>
          <w:rFonts w:hint="eastAsia"/>
          <w:szCs w:val="21"/>
        </w:rPr>
        <w:t>、评标委员会</w:t>
      </w:r>
      <w:bookmarkStart w:id="21" w:name="_Hlk19051932"/>
    </w:p>
    <w:p>
      <w:pPr>
        <w:suppressAutoHyphens/>
        <w:spacing w:before="120" w:line="320" w:lineRule="atLeast"/>
        <w:ind w:firstLine="420" w:firstLineChars="200"/>
      </w:pPr>
      <w:r>
        <w:rPr>
          <w:rFonts w:hint="eastAsia"/>
        </w:rPr>
        <w:t>本项目评标委员会由政府采购评审专家和采购人代表组成。</w:t>
      </w:r>
      <w:bookmarkEnd w:id="21"/>
      <w:bookmarkStart w:id="22" w:name="_Hlk19051968"/>
      <w:r>
        <w:rPr>
          <w:rFonts w:hint="eastAsia"/>
        </w:rPr>
        <w:t>评标委员会必须公平、公正、客观，不带任何倾向性和启发性；不得向外界透露任何与评审有关的内容；任何单位和个人不得干扰、影响评审的正常进行；评标委员会及有关工作人员不得私下与供应商接触。评审专家发现本人与参加采购活动的供应商有利害关系的，应当主动提出回避。</w:t>
      </w:r>
      <w:bookmarkEnd w:id="22"/>
    </w:p>
    <w:p>
      <w:pPr>
        <w:spacing w:before="120" w:line="320" w:lineRule="atLeast"/>
        <w:ind w:firstLine="413" w:firstLineChars="196"/>
        <w:outlineLvl w:val="1"/>
        <w:rPr>
          <w:b/>
          <w:bCs/>
          <w:kern w:val="0"/>
          <w:szCs w:val="21"/>
        </w:rPr>
      </w:pPr>
      <w:r>
        <w:rPr>
          <w:rFonts w:hint="eastAsia"/>
          <w:b/>
          <w:bCs/>
          <w:kern w:val="0"/>
          <w:szCs w:val="21"/>
        </w:rPr>
        <w:t>二、</w:t>
      </w:r>
      <w:r>
        <w:rPr>
          <w:b/>
          <w:bCs/>
          <w:kern w:val="0"/>
          <w:szCs w:val="21"/>
        </w:rPr>
        <w:t>评标程序</w:t>
      </w:r>
    </w:p>
    <w:p>
      <w:pPr>
        <w:spacing w:before="120" w:line="320" w:lineRule="atLeast"/>
        <w:ind w:firstLine="420" w:firstLineChars="200"/>
        <w:rPr>
          <w:szCs w:val="21"/>
        </w:rPr>
      </w:pPr>
      <w:r>
        <w:rPr>
          <w:rFonts w:hint="eastAsia"/>
          <w:szCs w:val="21"/>
        </w:rPr>
        <w:t>1、</w:t>
      </w:r>
      <w:bookmarkStart w:id="23" w:name="_Hlk19175507"/>
      <w:r>
        <w:rPr>
          <w:szCs w:val="21"/>
        </w:rPr>
        <w:t>初步评审：初步评审包括资格检查及符合性检查。</w:t>
      </w:r>
      <w:bookmarkEnd w:id="23"/>
    </w:p>
    <w:p>
      <w:pPr>
        <w:suppressAutoHyphens/>
        <w:spacing w:before="120" w:line="320" w:lineRule="atLeast"/>
        <w:ind w:firstLine="420" w:firstLineChars="200"/>
        <w:rPr>
          <w:bCs/>
          <w:kern w:val="1"/>
          <w:szCs w:val="21"/>
        </w:rPr>
      </w:pPr>
      <w:r>
        <w:rPr>
          <w:rFonts w:hint="eastAsia"/>
          <w:bCs/>
          <w:kern w:val="1"/>
          <w:szCs w:val="21"/>
        </w:rPr>
        <w:t>2、澄清（如需要）</w:t>
      </w:r>
      <w:r>
        <w:rPr>
          <w:bCs/>
          <w:kern w:val="1"/>
          <w:szCs w:val="21"/>
        </w:rPr>
        <w:t>。</w:t>
      </w:r>
    </w:p>
    <w:p>
      <w:pPr>
        <w:suppressAutoHyphens/>
        <w:spacing w:before="120" w:line="320" w:lineRule="atLeast"/>
        <w:ind w:firstLine="420" w:firstLineChars="200"/>
        <w:rPr>
          <w:bCs/>
          <w:kern w:val="1"/>
          <w:szCs w:val="21"/>
        </w:rPr>
      </w:pPr>
      <w:r>
        <w:rPr>
          <w:rFonts w:hint="eastAsia"/>
          <w:bCs/>
          <w:kern w:val="1"/>
          <w:szCs w:val="21"/>
        </w:rPr>
        <w:t>3、</w:t>
      </w:r>
      <w:r>
        <w:rPr>
          <w:bCs/>
          <w:kern w:val="1"/>
          <w:szCs w:val="21"/>
        </w:rPr>
        <w:t>详细评审。</w:t>
      </w:r>
    </w:p>
    <w:p>
      <w:pPr>
        <w:suppressAutoHyphens/>
        <w:spacing w:before="120" w:line="320" w:lineRule="atLeast"/>
        <w:ind w:firstLine="420" w:firstLineChars="200"/>
        <w:rPr>
          <w:szCs w:val="21"/>
        </w:rPr>
      </w:pPr>
      <w:r>
        <w:rPr>
          <w:bCs/>
          <w:kern w:val="1"/>
          <w:szCs w:val="21"/>
        </w:rPr>
        <w:t>4</w:t>
      </w:r>
      <w:r>
        <w:rPr>
          <w:rFonts w:hint="eastAsia"/>
          <w:bCs/>
          <w:kern w:val="1"/>
          <w:szCs w:val="21"/>
        </w:rPr>
        <w:t>、</w:t>
      </w:r>
      <w:r>
        <w:rPr>
          <w:bCs/>
          <w:kern w:val="1"/>
          <w:szCs w:val="21"/>
        </w:rPr>
        <w:t>推荐</w:t>
      </w:r>
      <w:r>
        <w:rPr>
          <w:rFonts w:hint="eastAsia"/>
          <w:bCs/>
          <w:kern w:val="1"/>
          <w:szCs w:val="21"/>
        </w:rPr>
        <w:t>中标</w:t>
      </w:r>
      <w:r>
        <w:rPr>
          <w:bCs/>
          <w:kern w:val="1"/>
          <w:szCs w:val="21"/>
        </w:rPr>
        <w:t>候选</w:t>
      </w:r>
      <w:r>
        <w:rPr>
          <w:rFonts w:hint="eastAsia"/>
          <w:bCs/>
          <w:kern w:val="1"/>
          <w:szCs w:val="21"/>
        </w:rPr>
        <w:t>人</w:t>
      </w:r>
      <w:r>
        <w:rPr>
          <w:bCs/>
          <w:kern w:val="1"/>
          <w:szCs w:val="21"/>
        </w:rPr>
        <w:t>。</w:t>
      </w:r>
    </w:p>
    <w:p>
      <w:pPr>
        <w:spacing w:before="120" w:line="320" w:lineRule="atLeast"/>
        <w:ind w:firstLine="413" w:firstLineChars="196"/>
        <w:outlineLvl w:val="1"/>
        <w:rPr>
          <w:b/>
          <w:bCs/>
          <w:kern w:val="0"/>
          <w:szCs w:val="21"/>
        </w:rPr>
      </w:pPr>
      <w:r>
        <w:rPr>
          <w:rFonts w:hint="eastAsia"/>
          <w:b/>
          <w:bCs/>
          <w:kern w:val="0"/>
          <w:szCs w:val="21"/>
        </w:rPr>
        <w:t>三、评标内容</w:t>
      </w:r>
    </w:p>
    <w:p>
      <w:pPr>
        <w:spacing w:before="120" w:line="320" w:lineRule="atLeast"/>
        <w:ind w:firstLine="413" w:firstLineChars="196"/>
        <w:outlineLvl w:val="1"/>
        <w:rPr>
          <w:b/>
          <w:bCs/>
          <w:kern w:val="0"/>
          <w:szCs w:val="21"/>
        </w:rPr>
      </w:pPr>
      <w:bookmarkStart w:id="24" w:name="_Hlk19052412"/>
      <w:r>
        <w:rPr>
          <w:b/>
          <w:bCs/>
          <w:kern w:val="0"/>
          <w:szCs w:val="21"/>
        </w:rPr>
        <w:t>1、资格审查</w:t>
      </w:r>
    </w:p>
    <w:p>
      <w:pPr>
        <w:suppressAutoHyphens/>
        <w:spacing w:before="120" w:line="320" w:lineRule="atLeast"/>
        <w:ind w:firstLine="420" w:firstLineChars="200"/>
        <w:rPr>
          <w:szCs w:val="21"/>
        </w:rPr>
      </w:pPr>
      <w:r>
        <w:t>采购人</w:t>
      </w:r>
      <w:r>
        <w:rPr>
          <w:rFonts w:hint="eastAsia"/>
        </w:rPr>
        <w:t>代表</w:t>
      </w:r>
      <w:r>
        <w:t>对所有供应商的投标文件进行资格审查。</w:t>
      </w:r>
      <w:r>
        <w:rPr>
          <w:szCs w:val="21"/>
        </w:rPr>
        <w:t>以确定供应商是否具备投标资格。资格审查表如下，缺少任何一项或有任何一项不合格者，其资格审查视为不合格。</w:t>
      </w:r>
    </w:p>
    <w:tbl>
      <w:tblPr>
        <w:tblStyle w:val="5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559"/>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675" w:type="dxa"/>
            <w:vAlign w:val="center"/>
          </w:tcPr>
          <w:p>
            <w:pPr>
              <w:spacing w:line="240" w:lineRule="exact"/>
              <w:jc w:val="center"/>
              <w:rPr>
                <w:b/>
                <w:kern w:val="0"/>
                <w:szCs w:val="21"/>
              </w:rPr>
            </w:pPr>
            <w:r>
              <w:rPr>
                <w:b/>
                <w:kern w:val="0"/>
                <w:szCs w:val="21"/>
              </w:rPr>
              <w:t>序号</w:t>
            </w:r>
          </w:p>
        </w:tc>
        <w:tc>
          <w:tcPr>
            <w:tcW w:w="2410" w:type="dxa"/>
            <w:gridSpan w:val="2"/>
            <w:vAlign w:val="center"/>
          </w:tcPr>
          <w:p>
            <w:pPr>
              <w:spacing w:line="240" w:lineRule="exact"/>
              <w:jc w:val="center"/>
              <w:rPr>
                <w:b/>
                <w:kern w:val="0"/>
                <w:szCs w:val="21"/>
              </w:rPr>
            </w:pPr>
            <w:r>
              <w:rPr>
                <w:b/>
                <w:kern w:val="0"/>
                <w:szCs w:val="21"/>
              </w:rPr>
              <w:t>评标因素</w:t>
            </w:r>
          </w:p>
        </w:tc>
        <w:tc>
          <w:tcPr>
            <w:tcW w:w="6521" w:type="dxa"/>
            <w:vAlign w:val="center"/>
          </w:tcPr>
          <w:p>
            <w:pPr>
              <w:spacing w:line="240" w:lineRule="exact"/>
              <w:jc w:val="center"/>
              <w:rPr>
                <w:b/>
                <w:kern w:val="0"/>
                <w:szCs w:val="21"/>
              </w:rPr>
            </w:pPr>
            <w:r>
              <w:rPr>
                <w:b/>
                <w:kern w:val="0"/>
                <w:szCs w:val="21"/>
              </w:rPr>
              <w:t>评标内容及评标标准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trPr>
        <w:tc>
          <w:tcPr>
            <w:tcW w:w="675" w:type="dxa"/>
            <w:vMerge w:val="restart"/>
            <w:vAlign w:val="center"/>
          </w:tcPr>
          <w:p>
            <w:pPr>
              <w:spacing w:line="240" w:lineRule="exact"/>
              <w:jc w:val="center"/>
              <w:rPr>
                <w:szCs w:val="21"/>
              </w:rPr>
            </w:pPr>
            <w:r>
              <w:rPr>
                <w:szCs w:val="21"/>
              </w:rPr>
              <w:t>1</w:t>
            </w:r>
          </w:p>
        </w:tc>
        <w:tc>
          <w:tcPr>
            <w:tcW w:w="2410" w:type="dxa"/>
            <w:gridSpan w:val="2"/>
            <w:vAlign w:val="center"/>
          </w:tcPr>
          <w:p>
            <w:pPr>
              <w:spacing w:line="240" w:lineRule="exact"/>
              <w:rPr>
                <w:szCs w:val="21"/>
              </w:rPr>
            </w:pPr>
            <w:r>
              <w:rPr>
                <w:szCs w:val="21"/>
              </w:rPr>
              <w:t>（1）具有独立承担民事责任的能力</w:t>
            </w:r>
          </w:p>
        </w:tc>
        <w:tc>
          <w:tcPr>
            <w:tcW w:w="6521" w:type="dxa"/>
          </w:tcPr>
          <w:p>
            <w:pPr>
              <w:spacing w:line="240" w:lineRule="exact"/>
              <w:jc w:val="left"/>
              <w:rPr>
                <w:szCs w:val="21"/>
              </w:rPr>
            </w:pPr>
            <w:r>
              <w:rPr>
                <w:szCs w:val="21"/>
              </w:rPr>
              <w:t>审查法人或者其他组织的营业执照等证明文件、自然人的身份证明。须按以下要求提供，材料须有效。</w:t>
            </w:r>
          </w:p>
          <w:p>
            <w:pPr>
              <w:spacing w:line="240" w:lineRule="exact"/>
              <w:jc w:val="left"/>
              <w:rPr>
                <w:szCs w:val="21"/>
              </w:rPr>
            </w:pPr>
            <w:r>
              <w:rPr>
                <w:szCs w:val="21"/>
              </w:rPr>
              <w:t>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675" w:type="dxa"/>
            <w:vMerge w:val="continue"/>
            <w:vAlign w:val="center"/>
          </w:tcPr>
          <w:p>
            <w:pPr>
              <w:spacing w:line="240" w:lineRule="exact"/>
              <w:jc w:val="center"/>
              <w:rPr>
                <w:szCs w:val="21"/>
              </w:rPr>
            </w:pPr>
          </w:p>
        </w:tc>
        <w:tc>
          <w:tcPr>
            <w:tcW w:w="2410" w:type="dxa"/>
            <w:gridSpan w:val="2"/>
            <w:vAlign w:val="center"/>
          </w:tcPr>
          <w:p>
            <w:pPr>
              <w:spacing w:line="240" w:lineRule="exact"/>
              <w:rPr>
                <w:szCs w:val="21"/>
              </w:rPr>
            </w:pPr>
            <w:r>
              <w:rPr>
                <w:szCs w:val="21"/>
                <w:lang w:val="zh-CN"/>
              </w:rPr>
              <w:t>（2）</w:t>
            </w:r>
            <w:r>
              <w:rPr>
                <w:szCs w:val="21"/>
              </w:rPr>
              <w:t>具有良好的商业信誉和健全的财务会计制度</w:t>
            </w:r>
          </w:p>
        </w:tc>
        <w:tc>
          <w:tcPr>
            <w:tcW w:w="6521" w:type="dxa"/>
          </w:tcPr>
          <w:p>
            <w:pPr>
              <w:spacing w:line="240" w:lineRule="exact"/>
              <w:jc w:val="left"/>
              <w:rPr>
                <w:szCs w:val="21"/>
              </w:rPr>
            </w:pPr>
            <w:r>
              <w:rPr>
                <w:rFonts w:hint="eastAsia" w:ascii="宋体" w:hAnsi="宋体" w:cs="宋体"/>
                <w:szCs w:val="21"/>
              </w:rPr>
              <w:t>①</w:t>
            </w:r>
            <w:r>
              <w:rPr>
                <w:szCs w:val="21"/>
              </w:rPr>
              <w:t>审查商业信誉声明。须提供，格式见第六章投标文件格式“投标声明书”。</w:t>
            </w:r>
          </w:p>
          <w:p>
            <w:pPr>
              <w:spacing w:line="240" w:lineRule="exact"/>
              <w:jc w:val="left"/>
              <w:rPr>
                <w:szCs w:val="21"/>
              </w:rPr>
            </w:pPr>
            <w:r>
              <w:rPr>
                <w:rFonts w:hint="eastAsia" w:ascii="宋体" w:hAnsi="宋体" w:cs="宋体"/>
                <w:szCs w:val="21"/>
              </w:rPr>
              <w:t>②</w:t>
            </w:r>
            <w:r>
              <w:rPr>
                <w:szCs w:val="21"/>
              </w:rPr>
              <w:t>审查</w:t>
            </w:r>
            <w:r>
              <w:rPr>
                <w:color w:val="4472C4"/>
                <w:szCs w:val="21"/>
              </w:rPr>
              <w:t>2019年</w:t>
            </w:r>
            <w:r>
              <w:rPr>
                <w:szCs w:val="21"/>
              </w:rPr>
              <w:t>度财务状况报告（表）复印件或银行出具的资信证明复印件，</w:t>
            </w:r>
            <w:r>
              <w:t>对于从取得营业执照时间起到投标文件递交截止时间为止不足1年的供应商，只需提交</w:t>
            </w:r>
            <w:r>
              <w:rPr>
                <w:szCs w:val="21"/>
              </w:rPr>
              <w:t>投标文件递交截止时间前一个月的财务状况报告（表）复印件。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675" w:type="dxa"/>
            <w:vMerge w:val="continue"/>
            <w:vAlign w:val="center"/>
          </w:tcPr>
          <w:p>
            <w:pPr>
              <w:spacing w:line="240" w:lineRule="exact"/>
              <w:jc w:val="center"/>
              <w:rPr>
                <w:szCs w:val="21"/>
              </w:rPr>
            </w:pPr>
          </w:p>
        </w:tc>
        <w:tc>
          <w:tcPr>
            <w:tcW w:w="2410" w:type="dxa"/>
            <w:gridSpan w:val="2"/>
            <w:vAlign w:val="center"/>
          </w:tcPr>
          <w:p>
            <w:pPr>
              <w:spacing w:line="240" w:lineRule="exact"/>
              <w:rPr>
                <w:szCs w:val="21"/>
                <w:lang w:val="zh-CN"/>
              </w:rPr>
            </w:pPr>
            <w:r>
              <w:rPr>
                <w:szCs w:val="21"/>
                <w:lang w:val="zh-CN"/>
              </w:rPr>
              <w:t>（3）具有履行合同所必需的设备和专业技术能力</w:t>
            </w:r>
          </w:p>
        </w:tc>
        <w:tc>
          <w:tcPr>
            <w:tcW w:w="6521" w:type="dxa"/>
          </w:tcPr>
          <w:p>
            <w:pPr>
              <w:spacing w:line="240" w:lineRule="exact"/>
              <w:jc w:val="left"/>
              <w:rPr>
                <w:szCs w:val="21"/>
              </w:rPr>
            </w:pPr>
            <w:r>
              <w:rPr>
                <w:rFonts w:hint="eastAsia" w:ascii="宋体" w:hAnsi="宋体" w:cs="宋体"/>
                <w:szCs w:val="21"/>
              </w:rPr>
              <w:t>①</w:t>
            </w:r>
            <w:r>
              <w:rPr>
                <w:szCs w:val="21"/>
              </w:rPr>
              <w:t xml:space="preserve">审查供应商营业执照，须有效； </w:t>
            </w:r>
          </w:p>
          <w:p>
            <w:pPr>
              <w:spacing w:line="240" w:lineRule="exact"/>
              <w:jc w:val="left"/>
              <w:rPr>
                <w:szCs w:val="21"/>
              </w:rPr>
            </w:pPr>
            <w:r>
              <w:rPr>
                <w:rFonts w:hint="eastAsia" w:ascii="宋体" w:hAnsi="宋体" w:cs="宋体"/>
                <w:szCs w:val="21"/>
              </w:rPr>
              <w:t>②</w:t>
            </w:r>
            <w:r>
              <w:rPr>
                <w:szCs w:val="21"/>
              </w:rPr>
              <w:t>审查书面声明。须提供，格式见第六章投标文件格式“</w:t>
            </w:r>
            <w:r>
              <w:t>投标声明书</w:t>
            </w:r>
            <w:r>
              <w:rPr>
                <w:szCs w:val="21"/>
              </w:rPr>
              <w:t>”。</w:t>
            </w:r>
          </w:p>
          <w:p>
            <w:pPr>
              <w:spacing w:line="240" w:lineRule="exact"/>
              <w:jc w:val="left"/>
              <w:rPr>
                <w:szCs w:val="21"/>
              </w:rPr>
            </w:pPr>
            <w:r>
              <w:rPr>
                <w:szCs w:val="21"/>
              </w:rPr>
              <w:t>审查</w:t>
            </w:r>
            <w:r>
              <w:rPr>
                <w:rFonts w:hint="eastAsia" w:ascii="宋体" w:hAnsi="宋体" w:cs="宋体"/>
                <w:szCs w:val="21"/>
              </w:rPr>
              <w:t>①</w:t>
            </w:r>
            <w:r>
              <w:rPr>
                <w:szCs w:val="21"/>
              </w:rPr>
              <w:t>或</w:t>
            </w:r>
            <w:r>
              <w:rPr>
                <w:rFonts w:hint="eastAsia" w:ascii="宋体" w:hAnsi="宋体" w:cs="宋体"/>
                <w:szCs w:val="21"/>
              </w:rPr>
              <w:t>②</w:t>
            </w:r>
            <w:r>
              <w:rPr>
                <w:szCs w:val="21"/>
              </w:rPr>
              <w:t>，满足其一，即为符合要求。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0" w:hRule="atLeast"/>
        </w:trPr>
        <w:tc>
          <w:tcPr>
            <w:tcW w:w="675" w:type="dxa"/>
            <w:vMerge w:val="continue"/>
            <w:vAlign w:val="center"/>
          </w:tcPr>
          <w:p>
            <w:pPr>
              <w:spacing w:line="240" w:lineRule="exact"/>
              <w:jc w:val="center"/>
              <w:rPr>
                <w:szCs w:val="21"/>
              </w:rPr>
            </w:pPr>
          </w:p>
        </w:tc>
        <w:tc>
          <w:tcPr>
            <w:tcW w:w="2410" w:type="dxa"/>
            <w:gridSpan w:val="2"/>
            <w:vAlign w:val="center"/>
          </w:tcPr>
          <w:p>
            <w:pPr>
              <w:spacing w:line="240" w:lineRule="exact"/>
              <w:rPr>
                <w:szCs w:val="21"/>
                <w:lang w:val="zh-CN"/>
              </w:rPr>
            </w:pPr>
            <w:r>
              <w:rPr>
                <w:szCs w:val="21"/>
                <w:lang w:val="zh-CN"/>
              </w:rPr>
              <w:t>（4）有依法缴纳税收和社会保障金的良好记录</w:t>
            </w:r>
          </w:p>
        </w:tc>
        <w:tc>
          <w:tcPr>
            <w:tcW w:w="6521" w:type="dxa"/>
          </w:tcPr>
          <w:p>
            <w:pPr>
              <w:spacing w:line="240" w:lineRule="exact"/>
              <w:jc w:val="left"/>
              <w:rPr>
                <w:color w:val="auto"/>
                <w:szCs w:val="21"/>
              </w:rPr>
            </w:pPr>
            <w:r>
              <w:rPr>
                <w:rFonts w:hint="eastAsia" w:ascii="宋体" w:hAnsi="宋体" w:cs="宋体"/>
                <w:color w:val="auto"/>
                <w:szCs w:val="21"/>
              </w:rPr>
              <w:t>①</w:t>
            </w:r>
            <w:r>
              <w:rPr>
                <w:color w:val="auto"/>
                <w:szCs w:val="21"/>
              </w:rPr>
              <w:t>审查投标截止时间前6个月内，</w:t>
            </w:r>
            <w:r>
              <w:rPr>
                <w:rFonts w:hint="eastAsia"/>
                <w:color w:val="auto"/>
              </w:rPr>
              <w:t>供应商</w:t>
            </w:r>
            <w:r>
              <w:rPr>
                <w:color w:val="auto"/>
              </w:rPr>
              <w:t>任意</w:t>
            </w:r>
            <w:r>
              <w:rPr>
                <w:rFonts w:hint="eastAsia"/>
                <w:color w:val="auto"/>
              </w:rPr>
              <w:t>1个月</w:t>
            </w:r>
            <w:r>
              <w:rPr>
                <w:color w:val="auto"/>
                <w:szCs w:val="21"/>
              </w:rPr>
              <w:t>依法缴纳税费证明复印件加盖供应商公章。</w:t>
            </w:r>
          </w:p>
          <w:p>
            <w:pPr>
              <w:spacing w:line="240" w:lineRule="exact"/>
              <w:jc w:val="left"/>
              <w:rPr>
                <w:color w:val="auto"/>
                <w:szCs w:val="21"/>
              </w:rPr>
            </w:pPr>
            <w:r>
              <w:rPr>
                <w:rFonts w:hint="eastAsia" w:ascii="宋体" w:hAnsi="宋体" w:cs="宋体"/>
                <w:color w:val="auto"/>
                <w:szCs w:val="21"/>
              </w:rPr>
              <w:t>②</w:t>
            </w:r>
            <w:r>
              <w:rPr>
                <w:color w:val="auto"/>
                <w:szCs w:val="21"/>
              </w:rPr>
              <w:t>审查投标截止时间前6个月内，</w:t>
            </w:r>
            <w:r>
              <w:rPr>
                <w:rFonts w:hint="eastAsia"/>
                <w:color w:val="auto"/>
              </w:rPr>
              <w:t>供应商</w:t>
            </w:r>
            <w:r>
              <w:rPr>
                <w:color w:val="auto"/>
              </w:rPr>
              <w:t>任意</w:t>
            </w:r>
            <w:r>
              <w:rPr>
                <w:rFonts w:hint="eastAsia"/>
                <w:color w:val="auto"/>
              </w:rPr>
              <w:t>1个月</w:t>
            </w:r>
            <w:r>
              <w:rPr>
                <w:color w:val="auto"/>
                <w:szCs w:val="21"/>
              </w:rPr>
              <w:t>的社保缴费证明记录复印件加盖供应商公章。</w:t>
            </w:r>
          </w:p>
          <w:p>
            <w:pPr>
              <w:spacing w:line="240" w:lineRule="exact"/>
              <w:jc w:val="left"/>
              <w:rPr>
                <w:color w:val="auto"/>
                <w:szCs w:val="21"/>
              </w:rPr>
            </w:pPr>
            <w:r>
              <w:rPr>
                <w:color w:val="auto"/>
                <w:szCs w:val="21"/>
              </w:rPr>
              <w:t>供应商成立不足</w:t>
            </w:r>
            <w:r>
              <w:rPr>
                <w:rFonts w:hint="eastAsia"/>
                <w:color w:val="auto"/>
                <w:szCs w:val="21"/>
              </w:rPr>
              <w:t>1个月的，无须提供</w:t>
            </w:r>
            <w:r>
              <w:rPr>
                <w:color w:val="auto"/>
                <w:szCs w:val="21"/>
              </w:rPr>
              <w:t>缴纳税费证明及社保缴费证明加盖供应商公章</w:t>
            </w:r>
            <w:r>
              <w:rPr>
                <w:rFonts w:hint="eastAsia"/>
                <w:color w:val="auto"/>
                <w:szCs w:val="21"/>
              </w:rPr>
              <w:t>。</w:t>
            </w:r>
          </w:p>
          <w:p>
            <w:pPr>
              <w:spacing w:line="240" w:lineRule="exact"/>
              <w:jc w:val="left"/>
              <w:rPr>
                <w:color w:val="auto"/>
                <w:szCs w:val="21"/>
              </w:rPr>
            </w:pPr>
            <w:r>
              <w:rPr>
                <w:color w:val="auto"/>
                <w:szCs w:val="21"/>
              </w:rPr>
              <w:t>依法免税或不需要缴纳社会保障资金的供应商，须提供相应文件证明其依法免税或不需要缴纳社会保障资金。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9" w:hRule="atLeast"/>
        </w:trPr>
        <w:tc>
          <w:tcPr>
            <w:tcW w:w="675" w:type="dxa"/>
            <w:vMerge w:val="continue"/>
            <w:vAlign w:val="center"/>
          </w:tcPr>
          <w:p>
            <w:pPr>
              <w:spacing w:line="240" w:lineRule="exact"/>
              <w:jc w:val="center"/>
              <w:rPr>
                <w:szCs w:val="21"/>
              </w:rPr>
            </w:pPr>
          </w:p>
        </w:tc>
        <w:tc>
          <w:tcPr>
            <w:tcW w:w="2410" w:type="dxa"/>
            <w:gridSpan w:val="2"/>
            <w:vAlign w:val="center"/>
          </w:tcPr>
          <w:p>
            <w:pPr>
              <w:spacing w:line="240" w:lineRule="exact"/>
              <w:rPr>
                <w:szCs w:val="21"/>
                <w:lang w:val="zh-CN"/>
              </w:rPr>
            </w:pPr>
            <w:r>
              <w:rPr>
                <w:szCs w:val="21"/>
              </w:rPr>
              <w:t>（5）参加政府采购活动前三年内，在经营活动中没有重大违法记录及不良信用记录</w:t>
            </w:r>
          </w:p>
        </w:tc>
        <w:tc>
          <w:tcPr>
            <w:tcW w:w="6521" w:type="dxa"/>
            <w:vAlign w:val="center"/>
          </w:tcPr>
          <w:p>
            <w:pPr>
              <w:spacing w:line="240" w:lineRule="exact"/>
              <w:jc w:val="left"/>
              <w:rPr>
                <w:color w:val="auto"/>
                <w:szCs w:val="21"/>
              </w:rPr>
            </w:pPr>
            <w:r>
              <w:rPr>
                <w:color w:val="auto"/>
                <w:szCs w:val="21"/>
              </w:rPr>
              <w:t>审查无重大违法记录声明。须提供，格式见第六章投标文件格式“投标声明书”。 一旦发现供应商提供的投标声明书不实时，则按照《政府采购法》有关提供虚假材料的规定给予处罚。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7" w:hRule="atLeast"/>
        </w:trPr>
        <w:tc>
          <w:tcPr>
            <w:tcW w:w="675" w:type="dxa"/>
            <w:vMerge w:val="continue"/>
            <w:vAlign w:val="center"/>
          </w:tcPr>
          <w:p>
            <w:pPr>
              <w:spacing w:line="240" w:lineRule="exact"/>
              <w:jc w:val="center"/>
              <w:rPr>
                <w:szCs w:val="21"/>
              </w:rPr>
            </w:pPr>
          </w:p>
        </w:tc>
        <w:tc>
          <w:tcPr>
            <w:tcW w:w="2410" w:type="dxa"/>
            <w:gridSpan w:val="2"/>
            <w:vAlign w:val="center"/>
          </w:tcPr>
          <w:p>
            <w:pPr>
              <w:spacing w:line="240" w:lineRule="exact"/>
              <w:jc w:val="left"/>
              <w:rPr>
                <w:szCs w:val="21"/>
              </w:rPr>
            </w:pPr>
            <w:r>
              <w:rPr>
                <w:szCs w:val="21"/>
              </w:rPr>
              <w:t>（6）诚信要求</w:t>
            </w:r>
          </w:p>
        </w:tc>
        <w:tc>
          <w:tcPr>
            <w:tcW w:w="6521" w:type="dxa"/>
          </w:tcPr>
          <w:p>
            <w:pPr>
              <w:spacing w:line="240" w:lineRule="exact"/>
              <w:jc w:val="left"/>
              <w:rPr>
                <w:szCs w:val="21"/>
              </w:rPr>
            </w:pPr>
            <w:r>
              <w:rPr>
                <w:rFonts w:hint="eastAsia" w:ascii="宋体" w:hAnsi="宋体" w:cs="宋体"/>
                <w:szCs w:val="21"/>
              </w:rPr>
              <w:t>①</w:t>
            </w:r>
            <w:r>
              <w:rPr>
                <w:szCs w:val="21"/>
              </w:rPr>
              <w:t>审核</w:t>
            </w:r>
            <w:r>
              <w:rPr>
                <w:rFonts w:hint="eastAsia"/>
                <w:szCs w:val="21"/>
              </w:rPr>
              <w:t>标准</w:t>
            </w:r>
            <w:r>
              <w:rPr>
                <w:szCs w:val="21"/>
              </w:rPr>
              <w:t>：供应商</w:t>
            </w:r>
            <w:r>
              <w:rPr>
                <w:rFonts w:hint="eastAsia"/>
                <w:szCs w:val="21"/>
              </w:rPr>
              <w:t>如</w:t>
            </w:r>
            <w:r>
              <w:rPr>
                <w:szCs w:val="21"/>
              </w:rPr>
              <w:t>被列入失信被执行人、重大税收违法案件当事人名单、政府采购严重违法失信行为记录名单</w:t>
            </w:r>
            <w:r>
              <w:rPr>
                <w:rFonts w:hint="eastAsia"/>
                <w:szCs w:val="21"/>
              </w:rPr>
              <w:t>，</w:t>
            </w:r>
            <w:r>
              <w:rPr>
                <w:szCs w:val="21"/>
              </w:rPr>
              <w:t>则资格审查不予通过，</w:t>
            </w:r>
            <w:r>
              <w:rPr>
                <w:rFonts w:hint="eastAsia"/>
                <w:szCs w:val="21"/>
              </w:rPr>
              <w:t>其</w:t>
            </w:r>
            <w:r>
              <w:rPr>
                <w:szCs w:val="21"/>
              </w:rPr>
              <w:t>投标被否决。</w:t>
            </w:r>
          </w:p>
          <w:p>
            <w:pPr>
              <w:spacing w:line="240" w:lineRule="exact"/>
              <w:jc w:val="left"/>
              <w:rPr>
                <w:szCs w:val="21"/>
              </w:rPr>
            </w:pPr>
            <w:r>
              <w:rPr>
                <w:rFonts w:hint="eastAsia"/>
                <w:szCs w:val="21"/>
              </w:rPr>
              <w:t>②</w:t>
            </w:r>
            <w:r>
              <w:rPr>
                <w:szCs w:val="21"/>
              </w:rPr>
              <w:t>信用信息查询渠道：中国政府采购网 “政府采购严重违法失信行为记录名单” 信用中国网：“失信被执行人”</w:t>
            </w:r>
            <w:r>
              <w:rPr>
                <w:rFonts w:hint="eastAsia"/>
                <w:szCs w:val="21"/>
              </w:rPr>
              <w:t>、</w:t>
            </w:r>
            <w:r>
              <w:rPr>
                <w:szCs w:val="21"/>
              </w:rPr>
              <w:t>“</w:t>
            </w:r>
            <w:r>
              <w:rPr>
                <w:kern w:val="0"/>
                <w:szCs w:val="21"/>
              </w:rPr>
              <w:t>重大税收违法案件当事人名单</w:t>
            </w:r>
            <w:r>
              <w:rPr>
                <w:szCs w:val="21"/>
              </w:rPr>
              <w:t xml:space="preserve">”  </w:t>
            </w:r>
          </w:p>
          <w:p>
            <w:pPr>
              <w:spacing w:line="240" w:lineRule="exact"/>
              <w:jc w:val="left"/>
              <w:rPr>
                <w:szCs w:val="21"/>
              </w:rPr>
            </w:pPr>
            <w:r>
              <w:rPr>
                <w:rFonts w:hint="eastAsia"/>
                <w:szCs w:val="21"/>
              </w:rPr>
              <w:t>③查询方式：资格审查时，采购人或采购代理机构通过上述渠道查询供应商的信用记录供评委审核。</w:t>
            </w:r>
          </w:p>
          <w:p>
            <w:pPr>
              <w:spacing w:line="240" w:lineRule="exact"/>
              <w:jc w:val="left"/>
              <w:rPr>
                <w:rFonts w:ascii="宋体" w:hAnsi="宋体" w:cs="宋体"/>
                <w:szCs w:val="21"/>
              </w:rPr>
            </w:pPr>
            <w:r>
              <w:rPr>
                <w:rFonts w:hint="eastAsia" w:ascii="宋体" w:hAnsi="宋体" w:cs="宋体"/>
                <w:szCs w:val="21"/>
                <w:lang w:eastAsia="ja-JP"/>
              </w:rPr>
              <w:t>④</w:t>
            </w:r>
            <w:r>
              <w:rPr>
                <w:szCs w:val="21"/>
              </w:rPr>
              <w:t>信用信息查询记录和证据留存的具体方式：</w:t>
            </w:r>
            <w:r>
              <w:rPr>
                <w:rFonts w:hint="eastAsia"/>
                <w:szCs w:val="21"/>
              </w:rPr>
              <w:t>通过</w:t>
            </w:r>
            <w:r>
              <w:rPr>
                <w:szCs w:val="21"/>
              </w:rPr>
              <w:t>上述查询渠道查询</w:t>
            </w:r>
            <w:r>
              <w:rPr>
                <w:rFonts w:hint="eastAsia"/>
                <w:szCs w:val="21"/>
              </w:rPr>
              <w:t>的供应商信用记录查询结果</w:t>
            </w:r>
            <w:r>
              <w:rPr>
                <w:szCs w:val="21"/>
              </w:rPr>
              <w:t>，将作为政府采购活动档案留存</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7" w:hRule="atLeast"/>
        </w:trPr>
        <w:tc>
          <w:tcPr>
            <w:tcW w:w="675" w:type="dxa"/>
            <w:vMerge w:val="continue"/>
            <w:vAlign w:val="center"/>
          </w:tcPr>
          <w:p>
            <w:pPr>
              <w:spacing w:line="240" w:lineRule="exact"/>
              <w:jc w:val="center"/>
              <w:rPr>
                <w:szCs w:val="21"/>
              </w:rPr>
            </w:pPr>
          </w:p>
        </w:tc>
        <w:tc>
          <w:tcPr>
            <w:tcW w:w="2410" w:type="dxa"/>
            <w:gridSpan w:val="2"/>
            <w:vAlign w:val="center"/>
          </w:tcPr>
          <w:p>
            <w:pPr>
              <w:spacing w:line="240" w:lineRule="exact"/>
              <w:jc w:val="left"/>
              <w:rPr>
                <w:color w:val="auto"/>
                <w:szCs w:val="21"/>
              </w:rPr>
            </w:pPr>
            <w:r>
              <w:rPr>
                <w:color w:val="auto"/>
                <w:szCs w:val="21"/>
              </w:rPr>
              <w:t>（7）具备法律、行政法规规定的其他要求</w:t>
            </w:r>
          </w:p>
        </w:tc>
        <w:tc>
          <w:tcPr>
            <w:tcW w:w="6521" w:type="dxa"/>
            <w:vAlign w:val="center"/>
          </w:tcPr>
          <w:p>
            <w:pPr>
              <w:spacing w:line="240" w:lineRule="exact"/>
              <w:rPr>
                <w:color w:val="auto"/>
                <w:szCs w:val="21"/>
              </w:rPr>
            </w:pPr>
            <w:r>
              <w:rPr>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675" w:type="dxa"/>
            <w:vMerge w:val="restart"/>
            <w:vAlign w:val="center"/>
          </w:tcPr>
          <w:p>
            <w:pPr>
              <w:spacing w:line="240" w:lineRule="exact"/>
              <w:jc w:val="center"/>
              <w:rPr>
                <w:szCs w:val="21"/>
              </w:rPr>
            </w:pPr>
            <w:r>
              <w:rPr>
                <w:szCs w:val="21"/>
              </w:rPr>
              <w:t>2</w:t>
            </w:r>
          </w:p>
        </w:tc>
        <w:tc>
          <w:tcPr>
            <w:tcW w:w="851" w:type="dxa"/>
            <w:vMerge w:val="restart"/>
            <w:vAlign w:val="center"/>
          </w:tcPr>
          <w:p>
            <w:pPr>
              <w:spacing w:line="240" w:lineRule="exact"/>
              <w:rPr>
                <w:szCs w:val="21"/>
              </w:rPr>
            </w:pPr>
            <w:r>
              <w:rPr>
                <w:szCs w:val="21"/>
                <w:lang w:val="zh-CN"/>
              </w:rPr>
              <w:t>供应商应符合的</w:t>
            </w:r>
            <w:r>
              <w:rPr>
                <w:szCs w:val="21"/>
              </w:rPr>
              <w:t>特定资格</w:t>
            </w:r>
            <w:r>
              <w:rPr>
                <w:rFonts w:hint="eastAsia"/>
                <w:szCs w:val="21"/>
              </w:rPr>
              <w:t>要求</w:t>
            </w:r>
          </w:p>
        </w:tc>
        <w:tc>
          <w:tcPr>
            <w:tcW w:w="1559" w:type="dxa"/>
            <w:vAlign w:val="center"/>
          </w:tcPr>
          <w:p>
            <w:pPr>
              <w:spacing w:line="240" w:lineRule="exact"/>
              <w:jc w:val="left"/>
              <w:rPr>
                <w:szCs w:val="21"/>
              </w:rPr>
            </w:pPr>
            <w:r>
              <w:rPr>
                <w:szCs w:val="21"/>
              </w:rPr>
              <w:t>（1）资质</w:t>
            </w:r>
            <w:r>
              <w:rPr>
                <w:rFonts w:hint="eastAsia"/>
                <w:szCs w:val="21"/>
              </w:rPr>
              <w:t>要求</w:t>
            </w:r>
          </w:p>
        </w:tc>
        <w:tc>
          <w:tcPr>
            <w:tcW w:w="6521" w:type="dxa"/>
            <w:vAlign w:val="center"/>
          </w:tcPr>
          <w:p>
            <w:pPr>
              <w:spacing w:line="240" w:lineRule="exact"/>
              <w:jc w:val="left"/>
              <w:rPr>
                <w:szCs w:val="21"/>
              </w:rPr>
            </w:pPr>
            <w:r>
              <w:rPr>
                <w:szCs w:val="21"/>
              </w:rPr>
              <w:t>须符合</w:t>
            </w:r>
            <w:r>
              <w:rPr>
                <w:rFonts w:hint="eastAsia"/>
                <w:szCs w:val="21"/>
              </w:rPr>
              <w:t>“招标公告”</w:t>
            </w:r>
            <w:r>
              <w:rPr>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675" w:type="dxa"/>
            <w:vMerge w:val="continue"/>
            <w:vAlign w:val="center"/>
          </w:tcPr>
          <w:p>
            <w:pPr>
              <w:spacing w:line="240" w:lineRule="exact"/>
              <w:jc w:val="center"/>
              <w:rPr>
                <w:szCs w:val="21"/>
              </w:rPr>
            </w:pPr>
          </w:p>
        </w:tc>
        <w:tc>
          <w:tcPr>
            <w:tcW w:w="851" w:type="dxa"/>
            <w:vMerge w:val="continue"/>
            <w:vAlign w:val="center"/>
          </w:tcPr>
          <w:p>
            <w:pPr>
              <w:spacing w:line="240" w:lineRule="exact"/>
              <w:rPr>
                <w:szCs w:val="21"/>
              </w:rPr>
            </w:pPr>
          </w:p>
        </w:tc>
        <w:tc>
          <w:tcPr>
            <w:tcW w:w="1559" w:type="dxa"/>
            <w:vAlign w:val="center"/>
          </w:tcPr>
          <w:p>
            <w:pPr>
              <w:spacing w:line="240" w:lineRule="exact"/>
              <w:jc w:val="left"/>
              <w:rPr>
                <w:szCs w:val="21"/>
              </w:rPr>
            </w:pPr>
            <w:r>
              <w:rPr>
                <w:szCs w:val="21"/>
              </w:rPr>
              <w:t>（2）业绩要求</w:t>
            </w:r>
          </w:p>
        </w:tc>
        <w:tc>
          <w:tcPr>
            <w:tcW w:w="6521" w:type="dxa"/>
            <w:vAlign w:val="center"/>
          </w:tcPr>
          <w:p>
            <w:pPr>
              <w:spacing w:line="240" w:lineRule="exact"/>
              <w:jc w:val="left"/>
              <w:rPr>
                <w:szCs w:val="21"/>
              </w:rPr>
            </w:pPr>
            <w:r>
              <w:rPr>
                <w:szCs w:val="21"/>
              </w:rPr>
              <w:t>须符合</w:t>
            </w:r>
            <w:r>
              <w:rPr>
                <w:rFonts w:hint="eastAsia"/>
                <w:szCs w:val="21"/>
              </w:rPr>
              <w:t>“招标公告”</w:t>
            </w:r>
            <w:r>
              <w:rPr>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675" w:type="dxa"/>
            <w:vMerge w:val="continue"/>
            <w:vAlign w:val="center"/>
          </w:tcPr>
          <w:p>
            <w:pPr>
              <w:spacing w:line="240" w:lineRule="exact"/>
              <w:jc w:val="center"/>
              <w:rPr>
                <w:szCs w:val="21"/>
              </w:rPr>
            </w:pPr>
          </w:p>
        </w:tc>
        <w:tc>
          <w:tcPr>
            <w:tcW w:w="851" w:type="dxa"/>
            <w:vMerge w:val="continue"/>
            <w:vAlign w:val="center"/>
          </w:tcPr>
          <w:p>
            <w:pPr>
              <w:spacing w:line="240" w:lineRule="exact"/>
              <w:rPr>
                <w:szCs w:val="21"/>
              </w:rPr>
            </w:pPr>
          </w:p>
        </w:tc>
        <w:tc>
          <w:tcPr>
            <w:tcW w:w="1559" w:type="dxa"/>
            <w:vAlign w:val="center"/>
          </w:tcPr>
          <w:p>
            <w:pPr>
              <w:spacing w:line="240" w:lineRule="exact"/>
              <w:jc w:val="left"/>
              <w:rPr>
                <w:szCs w:val="21"/>
              </w:rPr>
            </w:pPr>
            <w:r>
              <w:rPr>
                <w:szCs w:val="21"/>
              </w:rPr>
              <w:t>（3）其他要求</w:t>
            </w:r>
          </w:p>
        </w:tc>
        <w:tc>
          <w:tcPr>
            <w:tcW w:w="6521" w:type="dxa"/>
            <w:vAlign w:val="center"/>
          </w:tcPr>
          <w:p>
            <w:pPr>
              <w:spacing w:line="240" w:lineRule="exact"/>
              <w:jc w:val="left"/>
              <w:rPr>
                <w:szCs w:val="21"/>
              </w:rPr>
            </w:pPr>
            <w:r>
              <w:rPr>
                <w:szCs w:val="21"/>
              </w:rPr>
              <w:t>须符合</w:t>
            </w:r>
            <w:r>
              <w:rPr>
                <w:rFonts w:hint="eastAsia"/>
                <w:szCs w:val="21"/>
              </w:rPr>
              <w:t>“招标公告”的</w:t>
            </w:r>
            <w:r>
              <w:rPr>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4" w:hRule="atLeast"/>
        </w:trPr>
        <w:tc>
          <w:tcPr>
            <w:tcW w:w="675" w:type="dxa"/>
            <w:vMerge w:val="restart"/>
            <w:vAlign w:val="center"/>
          </w:tcPr>
          <w:p>
            <w:pPr>
              <w:spacing w:line="240" w:lineRule="exact"/>
              <w:jc w:val="center"/>
              <w:rPr>
                <w:szCs w:val="21"/>
              </w:rPr>
            </w:pPr>
            <w:r>
              <w:rPr>
                <w:rFonts w:hint="eastAsia"/>
                <w:szCs w:val="21"/>
              </w:rPr>
              <w:t>3</w:t>
            </w:r>
          </w:p>
        </w:tc>
        <w:tc>
          <w:tcPr>
            <w:tcW w:w="2410" w:type="dxa"/>
            <w:gridSpan w:val="2"/>
            <w:vMerge w:val="restart"/>
            <w:vAlign w:val="center"/>
          </w:tcPr>
          <w:p>
            <w:pPr>
              <w:spacing w:line="240" w:lineRule="exact"/>
              <w:jc w:val="left"/>
              <w:rPr>
                <w:szCs w:val="21"/>
              </w:rPr>
            </w:pPr>
            <w:r>
              <w:rPr>
                <w:rFonts w:hint="eastAsia"/>
                <w:kern w:val="0"/>
                <w:szCs w:val="21"/>
              </w:rPr>
              <w:t>供应商不得参加资格审查的情形</w:t>
            </w:r>
          </w:p>
        </w:tc>
        <w:tc>
          <w:tcPr>
            <w:tcW w:w="6521" w:type="dxa"/>
            <w:vAlign w:val="center"/>
          </w:tcPr>
          <w:p>
            <w:pPr>
              <w:spacing w:line="240" w:lineRule="exact"/>
              <w:jc w:val="left"/>
              <w:rPr>
                <w:szCs w:val="21"/>
              </w:rPr>
            </w:pPr>
            <w:r>
              <w:rPr>
                <w:kern w:val="0"/>
                <w:szCs w:val="21"/>
              </w:rPr>
              <w:t>（1）单位负责人为同一人或者存在直接控股、管理关系的不同供应商，不得参加本项目同一合同项下的政府采购活动。为本项目提供整体设计、规范编制或者项目管理、监理、检测等服务的供应商，不得再参加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2" w:hRule="atLeast"/>
        </w:trPr>
        <w:tc>
          <w:tcPr>
            <w:tcW w:w="675" w:type="dxa"/>
            <w:vMerge w:val="continue"/>
            <w:vAlign w:val="center"/>
          </w:tcPr>
          <w:p>
            <w:pPr>
              <w:spacing w:line="240" w:lineRule="exact"/>
              <w:jc w:val="center"/>
              <w:rPr>
                <w:szCs w:val="21"/>
              </w:rPr>
            </w:pPr>
          </w:p>
        </w:tc>
        <w:tc>
          <w:tcPr>
            <w:tcW w:w="2410" w:type="dxa"/>
            <w:gridSpan w:val="2"/>
            <w:vMerge w:val="continue"/>
            <w:vAlign w:val="center"/>
          </w:tcPr>
          <w:p>
            <w:pPr>
              <w:spacing w:line="240" w:lineRule="exact"/>
              <w:jc w:val="left"/>
              <w:rPr>
                <w:szCs w:val="21"/>
              </w:rPr>
            </w:pPr>
          </w:p>
        </w:tc>
        <w:tc>
          <w:tcPr>
            <w:tcW w:w="6521" w:type="dxa"/>
            <w:vAlign w:val="center"/>
          </w:tcPr>
          <w:p>
            <w:pPr>
              <w:spacing w:line="240" w:lineRule="exact"/>
              <w:jc w:val="left"/>
              <w:rPr>
                <w:szCs w:val="21"/>
              </w:rPr>
            </w:pPr>
            <w:r>
              <w:rPr>
                <w:kern w:val="0"/>
                <w:szCs w:val="21"/>
              </w:rPr>
              <w:t>（</w:t>
            </w:r>
            <w:r>
              <w:rPr>
                <w:rFonts w:hint="eastAsia"/>
                <w:kern w:val="0"/>
                <w:szCs w:val="21"/>
              </w:rPr>
              <w:t>2</w:t>
            </w:r>
            <w:r>
              <w:rPr>
                <w:kern w:val="0"/>
                <w:szCs w:val="21"/>
              </w:rPr>
              <w:t>）</w:t>
            </w:r>
            <w:r>
              <w:rPr>
                <w:rFonts w:hint="eastAsia"/>
                <w:kern w:val="0"/>
                <w:szCs w:val="21"/>
              </w:rPr>
              <w:t>因违法经营受到刑事处罚或者责令停产停业、吊销许可证或者执照、较大数额罚款等行政处罚，或者存在财政部门认定的其他重大违法记录，以及在财政部门禁止参加政府采购活动期限以内的。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675" w:type="dxa"/>
            <w:vAlign w:val="center"/>
          </w:tcPr>
          <w:p>
            <w:pPr>
              <w:spacing w:line="240" w:lineRule="exact"/>
              <w:jc w:val="center"/>
              <w:rPr>
                <w:szCs w:val="21"/>
              </w:rPr>
            </w:pPr>
            <w:r>
              <w:rPr>
                <w:rFonts w:hint="eastAsia"/>
                <w:szCs w:val="21"/>
              </w:rPr>
              <w:t>4</w:t>
            </w:r>
          </w:p>
        </w:tc>
        <w:tc>
          <w:tcPr>
            <w:tcW w:w="2410" w:type="dxa"/>
            <w:gridSpan w:val="2"/>
            <w:vAlign w:val="center"/>
          </w:tcPr>
          <w:p>
            <w:pPr>
              <w:spacing w:line="240" w:lineRule="exact"/>
              <w:rPr>
                <w:szCs w:val="21"/>
              </w:rPr>
            </w:pPr>
            <w:r>
              <w:rPr>
                <w:szCs w:val="21"/>
              </w:rPr>
              <w:t>投标保证金</w:t>
            </w:r>
          </w:p>
        </w:tc>
        <w:tc>
          <w:tcPr>
            <w:tcW w:w="6521" w:type="dxa"/>
            <w:vAlign w:val="center"/>
          </w:tcPr>
          <w:p>
            <w:pPr>
              <w:spacing w:line="240" w:lineRule="exact"/>
              <w:rPr>
                <w:rFonts w:hint="eastAsia" w:eastAsia="宋体"/>
                <w:szCs w:val="21"/>
                <w:lang w:eastAsia="zh-CN"/>
              </w:rPr>
            </w:pPr>
            <w:r>
              <w:rPr>
                <w:szCs w:val="21"/>
              </w:rPr>
              <w:t>足额、及时缴纳投标保证金</w:t>
            </w:r>
            <w:r>
              <w:rPr>
                <w:rFonts w:hint="eastAsia"/>
                <w:szCs w:val="21"/>
                <w:lang w:eastAsia="zh-CN"/>
              </w:rPr>
              <w:t>。</w:t>
            </w:r>
          </w:p>
        </w:tc>
      </w:tr>
    </w:tbl>
    <w:p>
      <w:pPr>
        <w:spacing w:before="120" w:line="320" w:lineRule="atLeast"/>
        <w:ind w:firstLine="413" w:firstLineChars="196"/>
        <w:outlineLvl w:val="1"/>
        <w:rPr>
          <w:b/>
          <w:bCs/>
          <w:kern w:val="0"/>
          <w:szCs w:val="21"/>
        </w:rPr>
      </w:pPr>
      <w:r>
        <w:rPr>
          <w:b/>
          <w:bCs/>
          <w:kern w:val="0"/>
          <w:szCs w:val="21"/>
        </w:rPr>
        <w:t>2、符合性检查</w:t>
      </w:r>
    </w:p>
    <w:p>
      <w:pPr>
        <w:spacing w:before="120" w:line="320" w:lineRule="atLeast"/>
        <w:ind w:firstLine="420" w:firstLineChars="200"/>
        <w:rPr>
          <w:szCs w:val="21"/>
        </w:rPr>
      </w:pPr>
      <w:r>
        <w:rPr>
          <w:bCs/>
          <w:kern w:val="1"/>
          <w:szCs w:val="21"/>
        </w:rPr>
        <w:t>资格审查结束后，由评标委员会对</w:t>
      </w:r>
      <w:r>
        <w:t>通过资格审查的供应商的投标文件进行符合性审查，以确定其是否满足招标文件的实质性要求。</w:t>
      </w:r>
      <w:r>
        <w:rPr>
          <w:szCs w:val="21"/>
        </w:rPr>
        <w:t>符合性检查表如下，缺少任何一项或有任何一项不合格者，其符合性检查视为不合格。</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675" w:type="dxa"/>
            <w:vAlign w:val="center"/>
          </w:tcPr>
          <w:p>
            <w:pPr>
              <w:spacing w:line="240" w:lineRule="exact"/>
              <w:jc w:val="center"/>
              <w:rPr>
                <w:b/>
                <w:kern w:val="0"/>
                <w:szCs w:val="21"/>
              </w:rPr>
            </w:pPr>
            <w:r>
              <w:rPr>
                <w:b/>
                <w:kern w:val="0"/>
                <w:szCs w:val="21"/>
              </w:rPr>
              <w:t>序号</w:t>
            </w:r>
          </w:p>
        </w:tc>
        <w:tc>
          <w:tcPr>
            <w:tcW w:w="3544" w:type="dxa"/>
            <w:gridSpan w:val="2"/>
            <w:vAlign w:val="center"/>
          </w:tcPr>
          <w:p>
            <w:pPr>
              <w:spacing w:line="240" w:lineRule="exact"/>
              <w:jc w:val="center"/>
              <w:rPr>
                <w:b/>
                <w:kern w:val="0"/>
                <w:szCs w:val="21"/>
              </w:rPr>
            </w:pPr>
            <w:r>
              <w:rPr>
                <w:b/>
                <w:kern w:val="0"/>
                <w:szCs w:val="21"/>
              </w:rPr>
              <w:t>评标因素</w:t>
            </w:r>
          </w:p>
        </w:tc>
        <w:tc>
          <w:tcPr>
            <w:tcW w:w="5409" w:type="dxa"/>
            <w:vAlign w:val="center"/>
          </w:tcPr>
          <w:p>
            <w:pPr>
              <w:spacing w:line="240" w:lineRule="exact"/>
              <w:jc w:val="center"/>
              <w:rPr>
                <w:b/>
                <w:kern w:val="0"/>
                <w:szCs w:val="21"/>
              </w:rPr>
            </w:pPr>
            <w:r>
              <w:rPr>
                <w:b/>
                <w:kern w:val="0"/>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675" w:type="dxa"/>
            <w:vMerge w:val="restart"/>
            <w:vAlign w:val="center"/>
          </w:tcPr>
          <w:p>
            <w:pPr>
              <w:spacing w:line="240" w:lineRule="exact"/>
              <w:rPr>
                <w:szCs w:val="21"/>
              </w:rPr>
            </w:pPr>
            <w:r>
              <w:rPr>
                <w:szCs w:val="21"/>
              </w:rPr>
              <w:t>（1）</w:t>
            </w:r>
          </w:p>
        </w:tc>
        <w:tc>
          <w:tcPr>
            <w:tcW w:w="1560" w:type="dxa"/>
            <w:vMerge w:val="restart"/>
            <w:vAlign w:val="center"/>
          </w:tcPr>
          <w:p>
            <w:pPr>
              <w:spacing w:line="240" w:lineRule="exact"/>
              <w:rPr>
                <w:kern w:val="0"/>
                <w:szCs w:val="21"/>
              </w:rPr>
            </w:pPr>
            <w:r>
              <w:rPr>
                <w:kern w:val="0"/>
                <w:szCs w:val="21"/>
              </w:rPr>
              <w:t>有效性审查</w:t>
            </w:r>
          </w:p>
        </w:tc>
        <w:tc>
          <w:tcPr>
            <w:tcW w:w="1984" w:type="dxa"/>
            <w:vAlign w:val="center"/>
          </w:tcPr>
          <w:p>
            <w:pPr>
              <w:spacing w:line="240" w:lineRule="exact"/>
              <w:rPr>
                <w:kern w:val="0"/>
                <w:szCs w:val="21"/>
              </w:rPr>
            </w:pPr>
            <w:r>
              <w:rPr>
                <w:szCs w:val="21"/>
              </w:rPr>
              <w:t>投标文件签署</w:t>
            </w:r>
          </w:p>
        </w:tc>
        <w:tc>
          <w:tcPr>
            <w:tcW w:w="5409" w:type="dxa"/>
            <w:vAlign w:val="center"/>
          </w:tcPr>
          <w:p>
            <w:pPr>
              <w:spacing w:line="240" w:lineRule="exact"/>
              <w:rPr>
                <w:kern w:val="0"/>
                <w:szCs w:val="21"/>
              </w:rPr>
            </w:pPr>
            <w:r>
              <w:rPr>
                <w:szCs w:val="21"/>
              </w:rPr>
              <w:t>投标文件上法定代表人或其授权代表人已按要求签字盖章。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675" w:type="dxa"/>
            <w:vMerge w:val="continue"/>
            <w:vAlign w:val="center"/>
          </w:tcPr>
          <w:p>
            <w:pPr>
              <w:spacing w:line="240" w:lineRule="exact"/>
              <w:jc w:val="center"/>
              <w:rPr>
                <w:szCs w:val="21"/>
              </w:rPr>
            </w:pPr>
          </w:p>
        </w:tc>
        <w:tc>
          <w:tcPr>
            <w:tcW w:w="1560" w:type="dxa"/>
            <w:vMerge w:val="continue"/>
            <w:vAlign w:val="center"/>
          </w:tcPr>
          <w:p>
            <w:pPr>
              <w:spacing w:line="240" w:lineRule="exact"/>
              <w:rPr>
                <w:kern w:val="0"/>
                <w:szCs w:val="21"/>
              </w:rPr>
            </w:pPr>
          </w:p>
        </w:tc>
        <w:tc>
          <w:tcPr>
            <w:tcW w:w="1984" w:type="dxa"/>
            <w:vAlign w:val="center"/>
          </w:tcPr>
          <w:p>
            <w:pPr>
              <w:spacing w:line="240" w:lineRule="exact"/>
              <w:rPr>
                <w:szCs w:val="21"/>
              </w:rPr>
            </w:pPr>
            <w:r>
              <w:rPr>
                <w:szCs w:val="21"/>
              </w:rPr>
              <w:t>法定代表人身份证明及授权委托书</w:t>
            </w:r>
          </w:p>
        </w:tc>
        <w:tc>
          <w:tcPr>
            <w:tcW w:w="5409" w:type="dxa"/>
            <w:vAlign w:val="center"/>
          </w:tcPr>
          <w:p>
            <w:pPr>
              <w:spacing w:line="240" w:lineRule="exact"/>
              <w:rPr>
                <w:szCs w:val="21"/>
              </w:rPr>
            </w:pPr>
            <w:r>
              <w:rPr>
                <w:rFonts w:hint="eastAsia"/>
                <w:szCs w:val="21"/>
              </w:rPr>
              <w:t>授权</w:t>
            </w:r>
            <w:r>
              <w:rPr>
                <w:szCs w:val="21"/>
              </w:rPr>
              <w:t>代表</w:t>
            </w:r>
            <w:r>
              <w:rPr>
                <w:rFonts w:hint="eastAsia"/>
                <w:szCs w:val="21"/>
              </w:rPr>
              <w:t>参加投标</w:t>
            </w:r>
            <w:r>
              <w:rPr>
                <w:szCs w:val="21"/>
              </w:rPr>
              <w:t>时审查</w:t>
            </w:r>
            <w:r>
              <w:t>：</w:t>
            </w:r>
            <w:r>
              <w:rPr>
                <w:rFonts w:ascii="宋体" w:hAnsi="宋体"/>
                <w:szCs w:val="21"/>
              </w:rPr>
              <w:t>法定代表人授权委托书及附件，格式及附件见第六章投标文件格式要求；</w:t>
            </w:r>
          </w:p>
          <w:p>
            <w:pPr>
              <w:spacing w:line="240" w:lineRule="exact"/>
              <w:rPr>
                <w:szCs w:val="21"/>
              </w:rPr>
            </w:pPr>
            <w:r>
              <w:rPr>
                <w:rFonts w:hint="eastAsia"/>
                <w:szCs w:val="21"/>
              </w:rPr>
              <w:t>法定代表人直接参加投标</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附件，格式及附件见第六章投标文件格式要求</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675" w:type="dxa"/>
            <w:vMerge w:val="continue"/>
            <w:vAlign w:val="center"/>
          </w:tcPr>
          <w:p>
            <w:pPr>
              <w:spacing w:line="240" w:lineRule="exact"/>
              <w:jc w:val="center"/>
              <w:rPr>
                <w:kern w:val="0"/>
                <w:szCs w:val="21"/>
              </w:rPr>
            </w:pPr>
          </w:p>
        </w:tc>
        <w:tc>
          <w:tcPr>
            <w:tcW w:w="1560" w:type="dxa"/>
            <w:vMerge w:val="continue"/>
            <w:vAlign w:val="center"/>
          </w:tcPr>
          <w:p>
            <w:pPr>
              <w:spacing w:line="240" w:lineRule="exact"/>
              <w:rPr>
                <w:kern w:val="0"/>
                <w:szCs w:val="21"/>
              </w:rPr>
            </w:pPr>
          </w:p>
        </w:tc>
        <w:tc>
          <w:tcPr>
            <w:tcW w:w="1984" w:type="dxa"/>
            <w:vAlign w:val="center"/>
          </w:tcPr>
          <w:p>
            <w:pPr>
              <w:spacing w:line="240" w:lineRule="exact"/>
              <w:rPr>
                <w:szCs w:val="21"/>
                <w:lang w:val="zh-CN"/>
              </w:rPr>
            </w:pPr>
            <w:r>
              <w:rPr>
                <w:rFonts w:hint="eastAsia"/>
                <w:color w:val="000000"/>
              </w:rPr>
              <w:t>投标文件或者投标报价唯一性</w:t>
            </w:r>
          </w:p>
        </w:tc>
        <w:tc>
          <w:tcPr>
            <w:tcW w:w="5409" w:type="dxa"/>
            <w:vAlign w:val="center"/>
          </w:tcPr>
          <w:p>
            <w:pPr>
              <w:spacing w:line="240" w:lineRule="exact"/>
              <w:rPr>
                <w:kern w:val="0"/>
                <w:szCs w:val="21"/>
              </w:rPr>
            </w:pPr>
            <w:r>
              <w:rPr>
                <w:rFonts w:hint="eastAsia"/>
                <w:color w:val="000000"/>
              </w:rPr>
              <w:t>同</w:t>
            </w:r>
            <w:r>
              <w:rPr>
                <w:rFonts w:hint="eastAsia"/>
                <w:szCs w:val="21"/>
              </w:rPr>
              <w:t>一供应商不得提交两个以上不同的投标文件或者投标报价，但招标文件要求提交</w:t>
            </w:r>
            <w:r>
              <w:rPr>
                <w:szCs w:val="21"/>
              </w:rPr>
              <w:t>备选</w:t>
            </w:r>
            <w:r>
              <w:rPr>
                <w:rFonts w:hint="eastAsia"/>
                <w:szCs w:val="21"/>
              </w:rPr>
              <w:t>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675" w:type="dxa"/>
            <w:vMerge w:val="continue"/>
            <w:vAlign w:val="center"/>
          </w:tcPr>
          <w:p>
            <w:pPr>
              <w:spacing w:line="240" w:lineRule="exact"/>
              <w:jc w:val="center"/>
              <w:rPr>
                <w:kern w:val="0"/>
                <w:szCs w:val="21"/>
              </w:rPr>
            </w:pPr>
          </w:p>
        </w:tc>
        <w:tc>
          <w:tcPr>
            <w:tcW w:w="1560" w:type="dxa"/>
            <w:vMerge w:val="continue"/>
            <w:vAlign w:val="center"/>
          </w:tcPr>
          <w:p>
            <w:pPr>
              <w:spacing w:line="240" w:lineRule="exact"/>
              <w:rPr>
                <w:kern w:val="0"/>
                <w:szCs w:val="21"/>
              </w:rPr>
            </w:pPr>
          </w:p>
        </w:tc>
        <w:tc>
          <w:tcPr>
            <w:tcW w:w="1984" w:type="dxa"/>
            <w:vAlign w:val="center"/>
          </w:tcPr>
          <w:p>
            <w:pPr>
              <w:spacing w:line="240" w:lineRule="exact"/>
              <w:rPr>
                <w:szCs w:val="21"/>
                <w:lang w:val="zh-CN"/>
              </w:rPr>
            </w:pPr>
            <w:r>
              <w:rPr>
                <w:szCs w:val="21"/>
                <w:lang w:val="zh-CN"/>
              </w:rPr>
              <w:t>附</w:t>
            </w:r>
            <w:r>
              <w:rPr>
                <w:rFonts w:hint="eastAsia"/>
                <w:szCs w:val="21"/>
                <w:lang w:val="zh-CN"/>
              </w:rPr>
              <w:t>加</w:t>
            </w:r>
            <w:r>
              <w:rPr>
                <w:szCs w:val="21"/>
                <w:lang w:val="zh-CN"/>
              </w:rPr>
              <w:t>条件</w:t>
            </w:r>
          </w:p>
        </w:tc>
        <w:tc>
          <w:tcPr>
            <w:tcW w:w="5409" w:type="dxa"/>
            <w:vAlign w:val="center"/>
          </w:tcPr>
          <w:p>
            <w:pPr>
              <w:spacing w:line="240" w:lineRule="exact"/>
              <w:rPr>
                <w:szCs w:val="21"/>
                <w:lang w:val="zh-CN"/>
              </w:rPr>
            </w:pPr>
            <w:r>
              <w:t>投标文件不得含有</w:t>
            </w:r>
            <w:r>
              <w:rPr>
                <w:rFonts w:hint="eastAsia"/>
              </w:rPr>
              <w:t>采购人</w:t>
            </w:r>
            <w:r>
              <w:t>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675" w:type="dxa"/>
            <w:vMerge w:val="continue"/>
            <w:vAlign w:val="center"/>
          </w:tcPr>
          <w:p>
            <w:pPr>
              <w:spacing w:line="240" w:lineRule="exact"/>
              <w:jc w:val="center"/>
              <w:rPr>
                <w:kern w:val="0"/>
                <w:szCs w:val="21"/>
              </w:rPr>
            </w:pPr>
          </w:p>
        </w:tc>
        <w:tc>
          <w:tcPr>
            <w:tcW w:w="1560" w:type="dxa"/>
            <w:vMerge w:val="continue"/>
            <w:vAlign w:val="center"/>
          </w:tcPr>
          <w:p>
            <w:pPr>
              <w:spacing w:line="240" w:lineRule="exact"/>
              <w:rPr>
                <w:kern w:val="0"/>
                <w:szCs w:val="21"/>
              </w:rPr>
            </w:pPr>
          </w:p>
        </w:tc>
        <w:tc>
          <w:tcPr>
            <w:tcW w:w="1984" w:type="dxa"/>
            <w:vAlign w:val="center"/>
          </w:tcPr>
          <w:p>
            <w:r>
              <w:t>投标报价</w:t>
            </w:r>
          </w:p>
        </w:tc>
        <w:tc>
          <w:tcPr>
            <w:tcW w:w="5409" w:type="dxa"/>
          </w:tcPr>
          <w:p>
            <w:r>
              <w:rPr>
                <w:szCs w:val="21"/>
              </w:rPr>
              <w:t>报价超出采购预算金额或最高限价（如有）的，否决其投标</w:t>
            </w:r>
            <w:r>
              <w:t>。</w:t>
            </w:r>
            <w:r>
              <w:rPr>
                <w:szCs w:val="21"/>
              </w:rPr>
              <w:t>提交选择性报价的，否决其投标。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5" w:type="dxa"/>
            <w:vMerge w:val="continue"/>
            <w:vAlign w:val="center"/>
          </w:tcPr>
          <w:p>
            <w:pPr>
              <w:spacing w:line="240" w:lineRule="exact"/>
              <w:jc w:val="center"/>
              <w:rPr>
                <w:kern w:val="0"/>
                <w:szCs w:val="21"/>
              </w:rPr>
            </w:pPr>
          </w:p>
        </w:tc>
        <w:tc>
          <w:tcPr>
            <w:tcW w:w="1560" w:type="dxa"/>
            <w:vMerge w:val="continue"/>
            <w:vAlign w:val="center"/>
          </w:tcPr>
          <w:p>
            <w:pPr>
              <w:spacing w:line="240" w:lineRule="exact"/>
              <w:rPr>
                <w:kern w:val="0"/>
                <w:szCs w:val="21"/>
              </w:rPr>
            </w:pPr>
          </w:p>
        </w:tc>
        <w:tc>
          <w:tcPr>
            <w:tcW w:w="1984" w:type="dxa"/>
            <w:vAlign w:val="center"/>
          </w:tcPr>
          <w:p>
            <w:pPr>
              <w:spacing w:line="240" w:lineRule="exact"/>
              <w:rPr>
                <w:szCs w:val="21"/>
                <w:lang w:val="zh-CN"/>
              </w:rPr>
            </w:pPr>
            <w:r>
              <w:rPr>
                <w:szCs w:val="21"/>
                <w:lang w:val="zh-CN"/>
              </w:rPr>
              <w:t>联合体供应商</w:t>
            </w:r>
          </w:p>
        </w:tc>
        <w:tc>
          <w:tcPr>
            <w:tcW w:w="5409" w:type="dxa"/>
            <w:vAlign w:val="center"/>
          </w:tcPr>
          <w:p>
            <w:pPr>
              <w:spacing w:line="240" w:lineRule="exact"/>
              <w:rPr>
                <w:kern w:val="0"/>
                <w:szCs w:val="21"/>
              </w:rPr>
            </w:pPr>
            <w:r>
              <w:rPr>
                <w:rFonts w:hint="eastAsia"/>
                <w:szCs w:val="21"/>
                <w:lang w:val="zh-CN"/>
              </w:rPr>
              <w:t>不</w:t>
            </w:r>
            <w:r>
              <w:rPr>
                <w:szCs w:val="21"/>
                <w:lang w:val="zh-CN"/>
              </w:rPr>
              <w:t>接受联合体</w:t>
            </w:r>
            <w:r>
              <w:rPr>
                <w:rFonts w:hint="eastAsia"/>
                <w:szCs w:val="21"/>
                <w:lang w:val="zh-CN"/>
              </w:rPr>
              <w:t>。联合体投标的，作无效投标处理。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5" w:type="dxa"/>
            <w:vMerge w:val="continue"/>
            <w:vAlign w:val="center"/>
          </w:tcPr>
          <w:p>
            <w:pPr>
              <w:spacing w:line="240" w:lineRule="exact"/>
              <w:jc w:val="center"/>
              <w:rPr>
                <w:kern w:val="0"/>
                <w:szCs w:val="21"/>
              </w:rPr>
            </w:pPr>
          </w:p>
        </w:tc>
        <w:tc>
          <w:tcPr>
            <w:tcW w:w="1560" w:type="dxa"/>
            <w:vMerge w:val="continue"/>
            <w:vAlign w:val="center"/>
          </w:tcPr>
          <w:p>
            <w:pPr>
              <w:spacing w:line="240" w:lineRule="exact"/>
              <w:rPr>
                <w:kern w:val="0"/>
                <w:szCs w:val="21"/>
              </w:rPr>
            </w:pPr>
          </w:p>
        </w:tc>
        <w:tc>
          <w:tcPr>
            <w:tcW w:w="1984" w:type="dxa"/>
            <w:vAlign w:val="center"/>
          </w:tcPr>
          <w:p>
            <w:pPr>
              <w:rPr>
                <w:szCs w:val="21"/>
              </w:rPr>
            </w:pPr>
            <w:r>
              <w:rPr>
                <w:szCs w:val="21"/>
              </w:rPr>
              <w:t>转包</w:t>
            </w:r>
            <w:r>
              <w:rPr>
                <w:rFonts w:hint="eastAsia"/>
                <w:szCs w:val="21"/>
              </w:rPr>
              <w:t>及</w:t>
            </w:r>
            <w:r>
              <w:rPr>
                <w:szCs w:val="21"/>
              </w:rPr>
              <w:t>分包</w:t>
            </w:r>
          </w:p>
        </w:tc>
        <w:tc>
          <w:tcPr>
            <w:tcW w:w="5409" w:type="dxa"/>
            <w:vAlign w:val="center"/>
          </w:tcPr>
          <w:p>
            <w:pPr>
              <w:rPr>
                <w:szCs w:val="21"/>
              </w:rPr>
            </w:pPr>
            <w:r>
              <w:rPr>
                <w:szCs w:val="21"/>
              </w:rPr>
              <w:t>满足招标文件规定</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675" w:type="dxa"/>
            <w:vMerge w:val="restart"/>
            <w:vAlign w:val="center"/>
          </w:tcPr>
          <w:p>
            <w:pPr>
              <w:spacing w:line="240" w:lineRule="exact"/>
              <w:rPr>
                <w:szCs w:val="21"/>
              </w:rPr>
            </w:pPr>
            <w:r>
              <w:rPr>
                <w:szCs w:val="21"/>
              </w:rPr>
              <w:t>（2）</w:t>
            </w:r>
          </w:p>
        </w:tc>
        <w:tc>
          <w:tcPr>
            <w:tcW w:w="1560" w:type="dxa"/>
            <w:vMerge w:val="restart"/>
            <w:vAlign w:val="center"/>
          </w:tcPr>
          <w:p>
            <w:pPr>
              <w:spacing w:line="240" w:lineRule="exact"/>
              <w:rPr>
                <w:szCs w:val="21"/>
                <w:lang w:val="zh-CN"/>
              </w:rPr>
            </w:pPr>
            <w:r>
              <w:rPr>
                <w:kern w:val="0"/>
                <w:szCs w:val="21"/>
              </w:rPr>
              <w:t>对招标文件的响应程度审查</w:t>
            </w:r>
          </w:p>
        </w:tc>
        <w:tc>
          <w:tcPr>
            <w:tcW w:w="1984" w:type="dxa"/>
            <w:vAlign w:val="center"/>
          </w:tcPr>
          <w:p>
            <w:pPr>
              <w:spacing w:line="240" w:lineRule="exact"/>
              <w:rPr>
                <w:szCs w:val="21"/>
                <w:lang w:val="zh-CN"/>
              </w:rPr>
            </w:pPr>
            <w:r>
              <w:rPr>
                <w:szCs w:val="21"/>
                <w:lang w:val="zh-CN"/>
              </w:rPr>
              <w:t>实质性条款响应</w:t>
            </w:r>
          </w:p>
        </w:tc>
        <w:tc>
          <w:tcPr>
            <w:tcW w:w="5409" w:type="dxa"/>
            <w:vAlign w:val="center"/>
          </w:tcPr>
          <w:p>
            <w:pPr>
              <w:spacing w:line="240" w:lineRule="exact"/>
              <w:rPr>
                <w:szCs w:val="21"/>
                <w:lang w:val="zh-CN"/>
              </w:rPr>
            </w:pPr>
            <w:r>
              <w:rPr>
                <w:szCs w:val="21"/>
                <w:lang w:val="zh-CN"/>
              </w:rPr>
              <w:t>对招标文件中所有标注▲号的实质性条款要求响应均无负偏离。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675" w:type="dxa"/>
            <w:vMerge w:val="continue"/>
            <w:vAlign w:val="center"/>
          </w:tcPr>
          <w:p>
            <w:pPr>
              <w:spacing w:line="240" w:lineRule="exact"/>
              <w:jc w:val="center"/>
              <w:rPr>
                <w:kern w:val="0"/>
                <w:szCs w:val="21"/>
              </w:rPr>
            </w:pPr>
          </w:p>
        </w:tc>
        <w:tc>
          <w:tcPr>
            <w:tcW w:w="1560" w:type="dxa"/>
            <w:vMerge w:val="continue"/>
            <w:vAlign w:val="center"/>
          </w:tcPr>
          <w:p>
            <w:pPr>
              <w:spacing w:line="240" w:lineRule="exact"/>
              <w:rPr>
                <w:szCs w:val="21"/>
                <w:lang w:val="zh-CN"/>
              </w:rPr>
            </w:pPr>
          </w:p>
        </w:tc>
        <w:tc>
          <w:tcPr>
            <w:tcW w:w="1984" w:type="dxa"/>
            <w:vAlign w:val="center"/>
          </w:tcPr>
          <w:p>
            <w:pPr>
              <w:rPr>
                <w:szCs w:val="21"/>
              </w:rPr>
            </w:pPr>
            <w:r>
              <w:rPr>
                <w:szCs w:val="21"/>
              </w:rPr>
              <w:t>投标有效期</w:t>
            </w:r>
          </w:p>
        </w:tc>
        <w:tc>
          <w:tcPr>
            <w:tcW w:w="5409" w:type="dxa"/>
            <w:vAlign w:val="center"/>
          </w:tcPr>
          <w:p>
            <w:pPr>
              <w:rPr>
                <w:szCs w:val="21"/>
              </w:rPr>
            </w:pPr>
            <w:r>
              <w:rPr>
                <w:szCs w:val="21"/>
              </w:rPr>
              <w:t>满足招标文件规定。</w:t>
            </w:r>
          </w:p>
        </w:tc>
      </w:tr>
    </w:tbl>
    <w:p>
      <w:pPr>
        <w:spacing w:before="120" w:line="320" w:lineRule="atLeast"/>
        <w:ind w:firstLine="413" w:firstLineChars="196"/>
        <w:outlineLvl w:val="1"/>
        <w:rPr>
          <w:b/>
          <w:bCs/>
          <w:kern w:val="0"/>
          <w:szCs w:val="21"/>
        </w:rPr>
      </w:pPr>
      <w:bookmarkStart w:id="25" w:name="_Hlk47714684"/>
      <w:r>
        <w:rPr>
          <w:b/>
          <w:bCs/>
          <w:kern w:val="0"/>
          <w:szCs w:val="21"/>
        </w:rPr>
        <w:t>3、部分节能产品强制性采购要求</w:t>
      </w:r>
    </w:p>
    <w:p>
      <w:pPr>
        <w:suppressAutoHyphens/>
        <w:spacing w:before="120" w:line="320" w:lineRule="atLeast"/>
        <w:ind w:firstLine="422" w:firstLineChars="201"/>
        <w:rPr>
          <w:szCs w:val="21"/>
        </w:rPr>
      </w:pPr>
      <w:r>
        <w:rPr>
          <w:szCs w:val="21"/>
        </w:rPr>
        <w:t>本项目采购范围如果包括</w:t>
      </w:r>
      <w:r>
        <w:rPr>
          <w:kern w:val="1"/>
          <w:szCs w:val="21"/>
          <w:lang w:eastAsia="ar-SA"/>
        </w:rPr>
        <w:t>政府强制采购的节能产品时</w:t>
      </w:r>
      <w:r>
        <w:rPr>
          <w:rFonts w:hint="eastAsia"/>
          <w:kern w:val="1"/>
          <w:szCs w:val="21"/>
        </w:rPr>
        <w:t>，</w:t>
      </w:r>
      <w:r>
        <w:t>评标委员会须根据</w:t>
      </w:r>
      <w:r>
        <w:rPr>
          <w:rFonts w:hint="eastAsia"/>
        </w:rPr>
        <w:t>以下</w:t>
      </w:r>
      <w:r>
        <w:t>规定评审</w:t>
      </w:r>
      <w:r>
        <w:rPr>
          <w:bCs/>
          <w:kern w:val="0"/>
          <w:szCs w:val="21"/>
        </w:rPr>
        <w:t>投标有效性</w:t>
      </w:r>
      <w:r>
        <w:t>。</w:t>
      </w:r>
    </w:p>
    <w:p>
      <w:pPr>
        <w:spacing w:before="120" w:line="320" w:lineRule="atLeast"/>
        <w:ind w:firstLine="420" w:firstLineChars="200"/>
        <w:rPr>
          <w:szCs w:val="21"/>
        </w:rPr>
      </w:pPr>
      <w:r>
        <w:rPr>
          <w:szCs w:val="21"/>
        </w:rPr>
        <w:t>本项目采购范围如果包括台式计算机、便携式计算机、平板式微型计算机、激光打印机、针式打印机、液晶显示器、制冷</w:t>
      </w:r>
      <w:r>
        <w:rPr>
          <w:rFonts w:hint="eastAsia"/>
          <w:szCs w:val="21"/>
        </w:rPr>
        <w:t>压缩机</w:t>
      </w:r>
      <w:r>
        <w:rPr>
          <w:szCs w:val="21"/>
        </w:rPr>
        <w:t>、空调机</w:t>
      </w:r>
      <w:r>
        <w:rPr>
          <w:rFonts w:hint="eastAsia"/>
          <w:szCs w:val="21"/>
        </w:rPr>
        <w:t>组</w:t>
      </w:r>
      <w:r>
        <w:rPr>
          <w:szCs w:val="21"/>
        </w:rPr>
        <w:t>、</w:t>
      </w:r>
      <w:r>
        <w:rPr>
          <w:rFonts w:hint="eastAsia"/>
          <w:szCs w:val="21"/>
        </w:rPr>
        <w:t>专用制冷、空调设备、</w:t>
      </w:r>
      <w:r>
        <w:rPr>
          <w:szCs w:val="21"/>
        </w:rPr>
        <w:t>镇流器、</w:t>
      </w:r>
      <w:r>
        <w:rPr>
          <w:rFonts w:hint="eastAsia"/>
          <w:szCs w:val="21"/>
        </w:rPr>
        <w:t>空调机、</w:t>
      </w:r>
      <w:r>
        <w:rPr>
          <w:szCs w:val="21"/>
        </w:rPr>
        <w:t>电热水器、普通照明用双端荧光灯、电视设备，</w:t>
      </w:r>
      <w:r>
        <w:rPr>
          <w:rFonts w:hint="eastAsia"/>
          <w:szCs w:val="21"/>
        </w:rPr>
        <w:t>视频设备</w:t>
      </w:r>
      <w:r>
        <w:rPr>
          <w:szCs w:val="21"/>
        </w:rPr>
        <w:t>、以及便器、水嘴等政府强制采购节能产品，相应产品</w:t>
      </w:r>
      <w:r>
        <w:rPr>
          <w:rFonts w:hint="eastAsia"/>
          <w:szCs w:val="21"/>
        </w:rPr>
        <w:t>必须使用节能产品政府采购品目清单内的产品，并处于有效期之内。否则，投标无效。</w:t>
      </w:r>
    </w:p>
    <w:bookmarkEnd w:id="25"/>
    <w:p>
      <w:pPr>
        <w:spacing w:before="120" w:line="320" w:lineRule="atLeast"/>
        <w:ind w:firstLine="413" w:firstLineChars="196"/>
        <w:outlineLvl w:val="1"/>
        <w:rPr>
          <w:b/>
          <w:bCs/>
          <w:kern w:val="0"/>
          <w:szCs w:val="21"/>
        </w:rPr>
      </w:pPr>
      <w:r>
        <w:rPr>
          <w:rFonts w:hint="eastAsia"/>
          <w:b/>
          <w:bCs/>
          <w:kern w:val="0"/>
          <w:szCs w:val="21"/>
        </w:rPr>
        <w:t>4、信息安全产品强制性采购要求：</w:t>
      </w:r>
    </w:p>
    <w:p>
      <w:pPr>
        <w:spacing w:before="120" w:line="276" w:lineRule="auto"/>
        <w:ind w:firstLine="420" w:firstLineChars="200"/>
        <w:rPr>
          <w:szCs w:val="21"/>
        </w:rPr>
      </w:pPr>
      <w:r>
        <w:rPr>
          <w:szCs w:val="21"/>
        </w:rPr>
        <w:t>本项目采购范围如果包括信息安全产品</w:t>
      </w:r>
      <w:r>
        <w:rPr>
          <w:rFonts w:hint="eastAsia"/>
          <w:szCs w:val="21"/>
        </w:rPr>
        <w:t>，供应商提供的</w:t>
      </w:r>
      <w:r>
        <w:rPr>
          <w:szCs w:val="21"/>
        </w:rPr>
        <w:t>信息安全产品应符合《关于信息安全产品实施政府采购的通知》（财库【2010】48号）要求。具体如下：</w:t>
      </w:r>
    </w:p>
    <w:p>
      <w:pPr>
        <w:spacing w:before="120" w:line="276" w:lineRule="auto"/>
        <w:ind w:firstLine="420" w:firstLineChars="200"/>
        <w:rPr>
          <w:szCs w:val="21"/>
        </w:rPr>
      </w:pPr>
      <w:r>
        <w:rPr>
          <w:szCs w:val="21"/>
        </w:rPr>
        <w:t>（1）使用财政性资金采购信息安全产品的，应当采购经国家认证的信息安全产品。</w:t>
      </w:r>
    </w:p>
    <w:p>
      <w:pPr>
        <w:spacing w:before="120" w:line="276" w:lineRule="auto"/>
        <w:ind w:firstLine="420" w:firstLineChars="200"/>
        <w:rPr>
          <w:szCs w:val="21"/>
        </w:rPr>
      </w:pPr>
      <w:r>
        <w:rPr>
          <w:szCs w:val="21"/>
        </w:rPr>
        <w:t>（2）中国网络安全审查技术与认证中心网站载明开展国家信息安全产品认证的产品范围共13种，包括：</w:t>
      </w:r>
      <w:r>
        <w:fldChar w:fldCharType="begin"/>
      </w:r>
      <w:r>
        <w:instrText xml:space="preserve"> HYPERLINK "http://www.isccc.gov.cn/zxyw/cprz/gjxxaqcprz/rzfw/11/341644.shtml" \t "_blank" </w:instrText>
      </w:r>
      <w:r>
        <w:fldChar w:fldCharType="separate"/>
      </w:r>
      <w:r>
        <w:rPr>
          <w:szCs w:val="21"/>
        </w:rPr>
        <w:t>防火墙</w:t>
      </w:r>
      <w:r>
        <w:rPr>
          <w:szCs w:val="21"/>
        </w:rPr>
        <w:fldChar w:fldCharType="end"/>
      </w:r>
      <w:r>
        <w:rPr>
          <w:szCs w:val="21"/>
        </w:rPr>
        <w:t>、网络安全隔离卡与线路选择器、</w:t>
      </w:r>
      <w:r>
        <w:fldChar w:fldCharType="begin"/>
      </w:r>
      <w:r>
        <w:instrText xml:space="preserve"> HYPERLINK "http://www.isccc.gov.cn/zxyw/cprz/gjxxaqcprz/rzfw/11/341642.shtml" \t "_blank" </w:instrText>
      </w:r>
      <w:r>
        <w:fldChar w:fldCharType="separate"/>
      </w:r>
      <w:r>
        <w:rPr>
          <w:szCs w:val="21"/>
        </w:rPr>
        <w:t>安全隔离与信息交换产品</w:t>
      </w:r>
      <w:r>
        <w:rPr>
          <w:szCs w:val="21"/>
        </w:rPr>
        <w:fldChar w:fldCharType="end"/>
      </w:r>
      <w:r>
        <w:rPr>
          <w:szCs w:val="21"/>
        </w:rPr>
        <w:t>、安全路由器、智能卡COS、数据备份与恢复产品、安全操作系统、安全数据库系统、反垃圾邮件产品、入侵检测系统（IDS）、网络脆弱扫描产品、安全审计产品、网站恢复产品。</w:t>
      </w:r>
    </w:p>
    <w:p>
      <w:pPr>
        <w:spacing w:before="120" w:line="276" w:lineRule="auto"/>
        <w:ind w:firstLine="420" w:firstLineChars="200"/>
        <w:rPr>
          <w:b/>
          <w:bCs/>
        </w:rPr>
      </w:pPr>
      <w:r>
        <w:rPr>
          <w:szCs w:val="21"/>
        </w:rPr>
        <w:t>（3）供应商所提供产品属于以上13种信息安全产品的，</w:t>
      </w:r>
      <w:r>
        <w:rPr>
          <w:rFonts w:hint="eastAsia"/>
          <w:szCs w:val="21"/>
        </w:rPr>
        <w:t>供应商在投标文件中列明属于</w:t>
      </w:r>
      <w:r>
        <w:rPr>
          <w:szCs w:val="21"/>
        </w:rPr>
        <w:t>信息安全产品</w:t>
      </w:r>
      <w:r>
        <w:rPr>
          <w:rFonts w:hint="eastAsia"/>
          <w:szCs w:val="21"/>
        </w:rPr>
        <w:t>的投标产品。</w:t>
      </w:r>
      <w:r>
        <w:t>采购人或采购代理机构通过“中国网络安全审查技术与认证中心”进行查询</w:t>
      </w:r>
      <w:r>
        <w:rPr>
          <w:rFonts w:hint="eastAsia"/>
        </w:rPr>
        <w:t>其有效认证证书，无证书或证书无效的，投标无效。</w:t>
      </w:r>
    </w:p>
    <w:p>
      <w:pPr>
        <w:spacing w:before="120" w:line="320" w:lineRule="atLeast"/>
        <w:ind w:firstLine="413" w:firstLineChars="196"/>
        <w:outlineLvl w:val="1"/>
        <w:rPr>
          <w:b/>
          <w:bCs/>
          <w:kern w:val="0"/>
          <w:szCs w:val="21"/>
        </w:rPr>
      </w:pPr>
      <w:r>
        <w:rPr>
          <w:b/>
          <w:bCs/>
          <w:kern w:val="0"/>
          <w:szCs w:val="21"/>
        </w:rPr>
        <w:t>5、相同品牌投标有效性认定</w:t>
      </w:r>
    </w:p>
    <w:p>
      <w:pPr>
        <w:spacing w:before="120" w:line="320" w:lineRule="atLeast"/>
        <w:ind w:firstLine="420" w:firstLineChars="200"/>
      </w:pPr>
      <w:r>
        <w:t>不同供应商提供的投标产品品牌相同时，评标委员会须根据</w:t>
      </w:r>
      <w:r>
        <w:rPr>
          <w:rFonts w:hint="eastAsia"/>
        </w:rPr>
        <w:t>以下</w:t>
      </w:r>
      <w:r>
        <w:t>规定评审</w:t>
      </w:r>
      <w:r>
        <w:rPr>
          <w:bCs/>
          <w:kern w:val="0"/>
          <w:szCs w:val="21"/>
        </w:rPr>
        <w:t>相同品牌的投标有效性</w:t>
      </w:r>
      <w:r>
        <w:t>。</w:t>
      </w:r>
    </w:p>
    <w:p>
      <w:pPr>
        <w:spacing w:before="120" w:line="320" w:lineRule="atLeast"/>
        <w:ind w:firstLine="420" w:firstLineChars="200"/>
        <w:rPr>
          <w:szCs w:val="21"/>
        </w:rPr>
      </w:pPr>
      <w:r>
        <w:rPr>
          <w:rFonts w:hint="eastAsia"/>
          <w:szCs w:val="21"/>
        </w:rPr>
        <w:t>（1）</w:t>
      </w:r>
      <w:r>
        <w:rPr>
          <w:szCs w:val="21"/>
        </w:rPr>
        <w:t>如若提供相同品牌产品且通过资格审查、符合性审查的不同供应商参加同一合同项下投标的，按一家供应商计算，评审后得分最高的同品牌供应商获得中标人推荐资格；评审得分相同的，</w:t>
      </w:r>
      <w:r>
        <w:t>由（</w:t>
      </w:r>
      <w:r>
        <w:rPr>
          <w:szCs w:val="21"/>
        </w:rPr>
        <w:sym w:font="Wingdings 2" w:char="F052"/>
      </w:r>
      <w:r>
        <w:t>采购人</w:t>
      </w:r>
      <w:r>
        <w:rPr>
          <w:szCs w:val="21"/>
        </w:rPr>
        <w:t>；</w:t>
      </w:r>
      <w:r>
        <w:rPr>
          <w:szCs w:val="21"/>
        </w:rPr>
        <w:sym w:font="Wingdings 2" w:char="F0A3"/>
      </w:r>
      <w:r>
        <w:t>采购人委托评标委员会）按照报价低者推荐</w:t>
      </w:r>
      <w:r>
        <w:rPr>
          <w:szCs w:val="21"/>
        </w:rPr>
        <w:t>中标人资格</w:t>
      </w:r>
      <w:r>
        <w:t>，如报价仍相同，则按技术部分得分高者推荐</w:t>
      </w:r>
      <w:r>
        <w:rPr>
          <w:szCs w:val="21"/>
        </w:rPr>
        <w:t>中标人资格</w:t>
      </w:r>
      <w:r>
        <w:t>，仍相同的，则按商务部分得分高者推荐</w:t>
      </w:r>
      <w:r>
        <w:rPr>
          <w:szCs w:val="21"/>
        </w:rPr>
        <w:t>中标人资格</w:t>
      </w:r>
      <w:r>
        <w:t>，若仍相同，则按业绩得分高者推荐中标人资格，其他同品牌供应商不作为中标候选人。</w:t>
      </w:r>
    </w:p>
    <w:p>
      <w:pPr>
        <w:spacing w:before="120" w:line="320" w:lineRule="atLeast"/>
        <w:ind w:firstLine="420" w:firstLineChars="200"/>
        <w:rPr>
          <w:szCs w:val="21"/>
        </w:rPr>
      </w:pPr>
      <w:r>
        <w:rPr>
          <w:rFonts w:hint="eastAsia"/>
          <w:szCs w:val="21"/>
        </w:rPr>
        <w:t>（2）</w:t>
      </w:r>
      <w:r>
        <w:rPr>
          <w:szCs w:val="21"/>
        </w:rPr>
        <w:t>非单一产品采购项目，采购人应当确定核心产品，并在招标文件中载明。多家供应商提供的核心产品品牌相同的，按上述规定处理。核心产品的定义见“项目采购需求”规定。</w:t>
      </w:r>
    </w:p>
    <w:p>
      <w:pPr>
        <w:spacing w:before="120" w:line="320" w:lineRule="atLeast"/>
        <w:ind w:firstLine="413" w:firstLineChars="196"/>
        <w:outlineLvl w:val="1"/>
        <w:rPr>
          <w:b/>
          <w:bCs/>
          <w:kern w:val="0"/>
          <w:szCs w:val="21"/>
        </w:rPr>
      </w:pPr>
      <w:r>
        <w:rPr>
          <w:b/>
          <w:bCs/>
          <w:kern w:val="0"/>
          <w:szCs w:val="21"/>
        </w:rPr>
        <w:t>6、串通投标的认定</w:t>
      </w:r>
    </w:p>
    <w:p>
      <w:pPr>
        <w:spacing w:before="120" w:line="320" w:lineRule="atLeast"/>
        <w:ind w:firstLine="420" w:firstLineChars="200"/>
      </w:pPr>
      <w:r>
        <w:t>评标委员会须根据</w:t>
      </w:r>
      <w:r>
        <w:rPr>
          <w:rFonts w:hint="eastAsia"/>
        </w:rPr>
        <w:t>以下</w:t>
      </w:r>
      <w:r>
        <w:t>规定评审</w:t>
      </w:r>
      <w:r>
        <w:rPr>
          <w:bCs/>
          <w:kern w:val="0"/>
          <w:szCs w:val="21"/>
        </w:rPr>
        <w:t>供应商是否有串通投标的行为，并按规定判定投标是否有效</w:t>
      </w:r>
      <w:r>
        <w:t>。</w:t>
      </w:r>
    </w:p>
    <w:p>
      <w:pPr>
        <w:spacing w:before="120" w:line="320" w:lineRule="atLeast"/>
        <w:ind w:firstLine="420" w:firstLineChars="200"/>
        <w:rPr>
          <w:szCs w:val="21"/>
        </w:rPr>
      </w:pPr>
      <w:bookmarkStart w:id="26" w:name="_Hlk19122026"/>
      <w:r>
        <w:rPr>
          <w:rFonts w:hint="eastAsia"/>
          <w:szCs w:val="21"/>
        </w:rPr>
        <w:t>（1）</w:t>
      </w:r>
      <w:bookmarkEnd w:id="26"/>
      <w:r>
        <w:rPr>
          <w:szCs w:val="21"/>
        </w:rPr>
        <w:t>根据桂财采[2016]42号《关于防治政府采购招标中串通投标行为的通知》规定，出现下述情况的，相关供应商的投标作无效投标处理。</w:t>
      </w:r>
    </w:p>
    <w:p>
      <w:pPr>
        <w:spacing w:before="120" w:line="320" w:lineRule="atLeast"/>
        <w:ind w:firstLine="420" w:firstLineChars="200"/>
        <w:rPr>
          <w:szCs w:val="21"/>
        </w:rPr>
      </w:pPr>
      <w:bookmarkStart w:id="27" w:name="_Hlk19122039"/>
      <w:r>
        <w:rPr>
          <w:rFonts w:hint="eastAsia" w:ascii="宋体" w:hAnsi="宋体" w:cs="宋体"/>
          <w:szCs w:val="21"/>
        </w:rPr>
        <w:t>①</w:t>
      </w:r>
      <w:r>
        <w:rPr>
          <w:szCs w:val="21"/>
        </w:rPr>
        <w:t>单位负责人为同一人或者存在直接控股、管理关系，参加同一合同项下政府采购活动的不同供应商。</w:t>
      </w:r>
    </w:p>
    <w:p>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27"/>
    <w:p>
      <w:pPr>
        <w:spacing w:before="120" w:line="320" w:lineRule="atLeast"/>
        <w:ind w:firstLine="420" w:firstLineChars="200"/>
        <w:rPr>
          <w:szCs w:val="21"/>
        </w:rPr>
      </w:pPr>
      <w:bookmarkStart w:id="28" w:name="_Hlk19122058"/>
      <w:r>
        <w:rPr>
          <w:rFonts w:hint="eastAsia"/>
          <w:szCs w:val="21"/>
        </w:rPr>
        <w:t>（2）</w:t>
      </w:r>
      <w:bookmarkEnd w:id="28"/>
      <w:r>
        <w:rPr>
          <w:szCs w:val="21"/>
        </w:rPr>
        <w:t>根据桂财采[2016]42号《关于防治政府采购招标中串通投标行为的通知》规定，有下列情形之一的视为供应商相互串通投标，投标文件将被视为无效。</w:t>
      </w:r>
    </w:p>
    <w:p>
      <w:pPr>
        <w:spacing w:before="120" w:line="320" w:lineRule="atLeast"/>
        <w:ind w:firstLine="420" w:firstLineChars="200"/>
        <w:rPr>
          <w:szCs w:val="21"/>
        </w:rPr>
      </w:pPr>
      <w:bookmarkStart w:id="29" w:name="_Hlk19122048"/>
      <w:r>
        <w:rPr>
          <w:rFonts w:hint="eastAsia" w:ascii="宋体" w:hAnsi="宋体" w:cs="宋体"/>
          <w:szCs w:val="21"/>
        </w:rPr>
        <w:t>①</w:t>
      </w:r>
      <w:r>
        <w:rPr>
          <w:szCs w:val="21"/>
        </w:rPr>
        <w:t>不同供应商的投标文件由同一单位或者个人编制；或不同供应商报名的IP地址一致的；</w:t>
      </w:r>
    </w:p>
    <w:p>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pPr>
        <w:spacing w:before="120" w:line="320" w:lineRule="atLeast"/>
        <w:ind w:firstLine="420" w:firstLineChars="200"/>
        <w:rPr>
          <w:szCs w:val="21"/>
        </w:rPr>
      </w:pPr>
      <w:r>
        <w:rPr>
          <w:rFonts w:hint="eastAsia"/>
          <w:szCs w:val="21"/>
        </w:rPr>
        <w:t>③</w:t>
      </w:r>
      <w:r>
        <w:rPr>
          <w:szCs w:val="21"/>
        </w:rPr>
        <w:t>不同的供应商的投标文件载明的项目管理员为同一个人；</w:t>
      </w:r>
    </w:p>
    <w:p>
      <w:pPr>
        <w:spacing w:before="120" w:line="320" w:lineRule="atLeast"/>
        <w:ind w:firstLine="420" w:firstLineChars="200"/>
        <w:rPr>
          <w:szCs w:val="21"/>
        </w:rPr>
      </w:pPr>
      <w:r>
        <w:rPr>
          <w:rFonts w:hint="eastAsia"/>
          <w:szCs w:val="21"/>
        </w:rPr>
        <w:t>④</w:t>
      </w:r>
      <w:r>
        <w:rPr>
          <w:szCs w:val="21"/>
        </w:rPr>
        <w:t>不同供应商的投标文件异常一致或投标报价呈规律性差异；</w:t>
      </w:r>
    </w:p>
    <w:p>
      <w:pPr>
        <w:spacing w:before="120" w:line="320" w:lineRule="atLeast"/>
        <w:ind w:firstLine="420" w:firstLineChars="200"/>
        <w:rPr>
          <w:szCs w:val="21"/>
        </w:rPr>
      </w:pPr>
      <w:r>
        <w:rPr>
          <w:rFonts w:hint="eastAsia"/>
          <w:szCs w:val="21"/>
        </w:rPr>
        <w:t>⑤</w:t>
      </w:r>
      <w:r>
        <w:rPr>
          <w:szCs w:val="21"/>
        </w:rPr>
        <w:t>不同供应商的投标文件相互混装；</w:t>
      </w:r>
    </w:p>
    <w:p>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29"/>
    <w:p>
      <w:pPr>
        <w:spacing w:before="120" w:line="320" w:lineRule="atLeast"/>
        <w:ind w:firstLine="420" w:firstLineChars="200"/>
        <w:rPr>
          <w:szCs w:val="21"/>
        </w:rPr>
      </w:pPr>
      <w:bookmarkStart w:id="30" w:name="_Hlk19122102"/>
      <w:r>
        <w:rPr>
          <w:rFonts w:hint="eastAsia"/>
          <w:szCs w:val="21"/>
        </w:rPr>
        <w:t>（3）</w:t>
      </w:r>
      <w:bookmarkEnd w:id="30"/>
      <w:r>
        <w:rPr>
          <w:szCs w:val="21"/>
        </w:rPr>
        <w:t>根据桂财采[2016]42号《关于防治政府采购招标中串通投标行为的通知》规定，供应商有下列情形之一的，属于恶意串通行为，投标文件将被视为无效。</w:t>
      </w:r>
    </w:p>
    <w:p>
      <w:pPr>
        <w:spacing w:before="120" w:line="320" w:lineRule="atLeast"/>
        <w:ind w:firstLine="420" w:firstLineChars="200"/>
        <w:rPr>
          <w:szCs w:val="21"/>
        </w:rPr>
      </w:pPr>
      <w:bookmarkStart w:id="31" w:name="_Hlk19122095"/>
      <w:r>
        <w:rPr>
          <w:rFonts w:hint="eastAsia"/>
          <w:szCs w:val="21"/>
        </w:rPr>
        <w:t>①</w:t>
      </w:r>
      <w:r>
        <w:rPr>
          <w:szCs w:val="21"/>
        </w:rPr>
        <w:t>供应商直接或者间接从采购人或者采购代理机构处获得其他供应商的相关信息并修改其投标文件或者响应文件；</w:t>
      </w:r>
    </w:p>
    <w:p>
      <w:pPr>
        <w:spacing w:before="120" w:line="320" w:lineRule="atLeast"/>
        <w:ind w:firstLine="420" w:firstLineChars="200"/>
        <w:rPr>
          <w:szCs w:val="21"/>
        </w:rPr>
      </w:pPr>
      <w:r>
        <w:rPr>
          <w:rFonts w:hint="eastAsia"/>
          <w:szCs w:val="21"/>
        </w:rPr>
        <w:t>②</w:t>
      </w:r>
      <w:r>
        <w:rPr>
          <w:szCs w:val="21"/>
        </w:rPr>
        <w:t>供应商按照采购人或者采购代理机构的授意撤换、修改投标文件或者响应文件;；</w:t>
      </w:r>
    </w:p>
    <w:p>
      <w:pPr>
        <w:spacing w:before="120" w:line="320" w:lineRule="atLeast"/>
        <w:ind w:firstLine="420" w:firstLineChars="200"/>
        <w:rPr>
          <w:szCs w:val="21"/>
        </w:rPr>
      </w:pPr>
      <w:r>
        <w:rPr>
          <w:rFonts w:hint="eastAsia"/>
          <w:szCs w:val="21"/>
        </w:rPr>
        <w:t>③</w:t>
      </w:r>
      <w:r>
        <w:rPr>
          <w:szCs w:val="21"/>
        </w:rPr>
        <w:t>供应商之间协商报价、技术方案等投标文件或者响应文件的实质性内容；</w:t>
      </w:r>
    </w:p>
    <w:p>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31"/>
    <w:p>
      <w:pPr>
        <w:spacing w:before="120" w:line="320" w:lineRule="atLeast"/>
        <w:ind w:firstLine="413" w:firstLineChars="196"/>
        <w:outlineLvl w:val="1"/>
        <w:rPr>
          <w:b/>
          <w:bCs/>
          <w:kern w:val="0"/>
          <w:szCs w:val="21"/>
        </w:rPr>
      </w:pPr>
      <w:r>
        <w:rPr>
          <w:b/>
          <w:bCs/>
          <w:kern w:val="0"/>
          <w:szCs w:val="21"/>
        </w:rPr>
        <w:t>7、投标有效性的认定</w:t>
      </w:r>
    </w:p>
    <w:p>
      <w:pPr>
        <w:spacing w:before="120" w:line="320" w:lineRule="atLeast"/>
        <w:ind w:firstLine="420" w:firstLineChars="200"/>
        <w:rPr>
          <w:szCs w:val="21"/>
        </w:rPr>
      </w:pPr>
      <w:bookmarkStart w:id="32" w:name="_Hlk19113301"/>
      <w:r>
        <w:rPr>
          <w:rFonts w:hint="eastAsia"/>
          <w:szCs w:val="21"/>
        </w:rPr>
        <w:t>（</w:t>
      </w:r>
      <w:r>
        <w:rPr>
          <w:szCs w:val="21"/>
        </w:rPr>
        <w:t>1）资格审查时，如发现下列情形之一的，投标文件将被视为无效：</w:t>
      </w:r>
    </w:p>
    <w:p>
      <w:pPr>
        <w:spacing w:before="120" w:line="320" w:lineRule="atLeast"/>
        <w:ind w:firstLine="420" w:firstLineChars="200"/>
        <w:rPr>
          <w:rStyle w:val="127"/>
          <w:color w:val="000000"/>
        </w:rPr>
      </w:pPr>
      <w:r>
        <w:rPr>
          <w:rFonts w:hint="eastAsia"/>
          <w:szCs w:val="21"/>
        </w:rPr>
        <w:t>①</w:t>
      </w:r>
      <w:r>
        <w:rPr>
          <w:color w:val="000000"/>
        </w:rPr>
        <w:t>未按照招标文件的规定提交投标保证金的；</w:t>
      </w:r>
    </w:p>
    <w:p>
      <w:pPr>
        <w:spacing w:before="120" w:line="320" w:lineRule="atLeast"/>
        <w:ind w:firstLine="420" w:firstLineChars="200"/>
        <w:rPr>
          <w:color w:val="000000"/>
        </w:rPr>
      </w:pPr>
      <w:r>
        <w:rPr>
          <w:rFonts w:hint="eastAsia"/>
          <w:szCs w:val="21"/>
        </w:rPr>
        <w:t>②</w:t>
      </w:r>
      <w:r>
        <w:rPr>
          <w:color w:val="000000"/>
        </w:rPr>
        <w:t>不具备招标文件中规定的资格要求的；</w:t>
      </w:r>
    </w:p>
    <w:p>
      <w:pPr>
        <w:spacing w:before="120" w:line="320" w:lineRule="atLeast"/>
        <w:ind w:firstLine="420" w:firstLineChars="200"/>
        <w:rPr>
          <w:rStyle w:val="127"/>
          <w:szCs w:val="21"/>
        </w:rPr>
      </w:pPr>
      <w:r>
        <w:rPr>
          <w:rFonts w:hint="eastAsia"/>
          <w:szCs w:val="21"/>
        </w:rPr>
        <w:t>③</w:t>
      </w:r>
      <w:r>
        <w:rPr>
          <w:szCs w:val="21"/>
        </w:rPr>
        <w:t>投标文件签</w:t>
      </w:r>
      <w:r>
        <w:rPr>
          <w:rFonts w:hint="eastAsia"/>
          <w:szCs w:val="21"/>
        </w:rPr>
        <w:t>署（签</w:t>
      </w:r>
      <w:r>
        <w:rPr>
          <w:szCs w:val="21"/>
        </w:rPr>
        <w:t>名</w:t>
      </w:r>
      <w:r>
        <w:rPr>
          <w:rFonts w:hint="eastAsia"/>
          <w:szCs w:val="21"/>
        </w:rPr>
        <w:t>）</w:t>
      </w:r>
      <w:r>
        <w:rPr>
          <w:szCs w:val="21"/>
        </w:rPr>
        <w:t>、盖章不符合招标文件要求的</w:t>
      </w:r>
      <w:r>
        <w:rPr>
          <w:rFonts w:hint="eastAsia"/>
          <w:szCs w:val="21"/>
        </w:rPr>
        <w:t>；</w:t>
      </w:r>
    </w:p>
    <w:p>
      <w:pPr>
        <w:spacing w:before="120" w:line="320" w:lineRule="atLeast"/>
        <w:ind w:firstLine="420" w:firstLineChars="200"/>
        <w:rPr>
          <w:szCs w:val="21"/>
        </w:rPr>
      </w:pPr>
      <w:r>
        <w:rPr>
          <w:rFonts w:hint="eastAsia"/>
          <w:szCs w:val="21"/>
        </w:rPr>
        <w:t>（2</w:t>
      </w:r>
      <w:r>
        <w:rPr>
          <w:szCs w:val="21"/>
        </w:rPr>
        <w:t>）在符合性审查、商务和技术评估时，如发现下列情形之一的，投标文件将被视为无效：</w:t>
      </w:r>
    </w:p>
    <w:p>
      <w:pPr>
        <w:spacing w:before="120" w:line="320" w:lineRule="atLeast"/>
        <w:ind w:firstLine="420" w:firstLineChars="200"/>
        <w:rPr>
          <w:color w:val="000000"/>
        </w:rPr>
      </w:pPr>
      <w:r>
        <w:rPr>
          <w:rFonts w:hint="eastAsia"/>
          <w:szCs w:val="21"/>
        </w:rPr>
        <w:t>①</w:t>
      </w:r>
      <w:r>
        <w:rPr>
          <w:color w:val="000000"/>
        </w:rPr>
        <w:t>投标文件未按招标文件要求签署、盖章的；</w:t>
      </w:r>
    </w:p>
    <w:p>
      <w:pPr>
        <w:spacing w:before="120" w:line="320" w:lineRule="atLeast"/>
        <w:ind w:firstLine="420" w:firstLineChars="200"/>
        <w:rPr>
          <w:rStyle w:val="127"/>
          <w:color w:val="000000"/>
        </w:rPr>
      </w:pPr>
      <w:r>
        <w:rPr>
          <w:rFonts w:hint="eastAsia"/>
          <w:szCs w:val="21"/>
        </w:rPr>
        <w:t>②</w:t>
      </w:r>
      <w:r>
        <w:rPr>
          <w:color w:val="000000"/>
        </w:rPr>
        <w:t>投标文件未按招标文件要求</w:t>
      </w:r>
      <w:r>
        <w:rPr>
          <w:rFonts w:hint="eastAsia"/>
          <w:color w:val="000000"/>
        </w:rPr>
        <w:t>提供第六章要求“必须提供”的内容</w:t>
      </w:r>
      <w:r>
        <w:rPr>
          <w:color w:val="000000"/>
        </w:rPr>
        <w:t>的；</w:t>
      </w:r>
    </w:p>
    <w:p>
      <w:pPr>
        <w:spacing w:before="120" w:line="320" w:lineRule="atLeast"/>
        <w:ind w:firstLine="420" w:firstLineChars="200"/>
        <w:rPr>
          <w:rStyle w:val="127"/>
          <w:color w:val="000000"/>
        </w:rPr>
      </w:pPr>
      <w:r>
        <w:rPr>
          <w:rFonts w:hint="eastAsia"/>
          <w:szCs w:val="21"/>
        </w:rPr>
        <w:t>③</w:t>
      </w:r>
      <w:r>
        <w:rPr>
          <w:color w:val="000000"/>
        </w:rPr>
        <w:t>报价超过招标文件中规定的预算金额或者最高限价的；</w:t>
      </w:r>
    </w:p>
    <w:p>
      <w:pPr>
        <w:spacing w:before="120" w:line="320" w:lineRule="atLeast"/>
        <w:ind w:firstLine="420" w:firstLineChars="200"/>
        <w:rPr>
          <w:color w:val="000000"/>
        </w:rPr>
      </w:pPr>
      <w:r>
        <w:rPr>
          <w:rFonts w:hint="eastAsia"/>
          <w:szCs w:val="21"/>
        </w:rPr>
        <w:t>④</w:t>
      </w:r>
      <w:r>
        <w:rPr>
          <w:color w:val="000000"/>
        </w:rPr>
        <w:t>投标文件含有采购人不能接受的附加条件的</w:t>
      </w:r>
      <w:r>
        <w:rPr>
          <w:rFonts w:hint="eastAsia"/>
          <w:color w:val="000000"/>
        </w:rPr>
        <w:t>；</w:t>
      </w:r>
    </w:p>
    <w:p>
      <w:pPr>
        <w:spacing w:before="120" w:line="320" w:lineRule="atLeast"/>
        <w:ind w:firstLine="420" w:firstLineChars="200"/>
        <w:rPr>
          <w:szCs w:val="21"/>
        </w:rPr>
      </w:pPr>
      <w:r>
        <w:rPr>
          <w:rFonts w:hint="eastAsia"/>
          <w:szCs w:val="21"/>
        </w:rPr>
        <w:t>⑤评审过程中发现投标文件中提供虚假材料的；</w:t>
      </w:r>
    </w:p>
    <w:p>
      <w:pPr>
        <w:spacing w:before="120" w:line="320" w:lineRule="atLeast"/>
        <w:ind w:firstLine="420" w:firstLineChars="200"/>
        <w:rPr>
          <w:szCs w:val="21"/>
        </w:rPr>
      </w:pPr>
      <w:r>
        <w:rPr>
          <w:rFonts w:hint="eastAsia" w:ascii="宋体" w:hAnsi="宋体"/>
          <w:szCs w:val="21"/>
        </w:rPr>
        <w:t>⑥</w:t>
      </w:r>
      <w:r>
        <w:rPr>
          <w:szCs w:val="21"/>
        </w:rPr>
        <w:t>法律、法规和招标文件规定的其他无效情形。</w:t>
      </w:r>
    </w:p>
    <w:bookmarkEnd w:id="32"/>
    <w:p>
      <w:pPr>
        <w:spacing w:before="120" w:line="320" w:lineRule="atLeast"/>
        <w:ind w:firstLine="420" w:firstLineChars="200"/>
        <w:rPr>
          <w:szCs w:val="21"/>
        </w:rPr>
      </w:pPr>
      <w:bookmarkStart w:id="33" w:name="_Hlk19113313"/>
      <w:r>
        <w:rPr>
          <w:rFonts w:hint="eastAsia"/>
          <w:szCs w:val="21"/>
        </w:rPr>
        <w:t>（</w:t>
      </w:r>
      <w:r>
        <w:rPr>
          <w:szCs w:val="21"/>
        </w:rPr>
        <w:t>3</w:t>
      </w:r>
      <w:r>
        <w:rPr>
          <w:rFonts w:hint="eastAsia"/>
          <w:szCs w:val="21"/>
        </w:rPr>
        <w:t>）根据</w:t>
      </w:r>
      <w:r>
        <w:rPr>
          <w:szCs w:val="21"/>
        </w:rPr>
        <w:t>财库〔2019〕38号</w:t>
      </w:r>
      <w:r>
        <w:rPr>
          <w:rFonts w:hint="eastAsia"/>
          <w:szCs w:val="21"/>
        </w:rPr>
        <w:t>《</w:t>
      </w:r>
      <w:r>
        <w:rPr>
          <w:szCs w:val="21"/>
        </w:rPr>
        <w:t>关于促进政府采购公平竞争优化营商环境的通知</w:t>
      </w:r>
      <w:r>
        <w:rPr>
          <w:rFonts w:hint="eastAsia"/>
          <w:szCs w:val="21"/>
        </w:rPr>
        <w:t>》以及桂财采〔2019〕41号 《广西壮族自治区财政厅转发财政部关于促进政府采购公平竞争优化营商环境的通知》规定，评标委员会认定投标有效性时不得因装订、纸张、文件排序等非实质性的格式、形式问题否决投标，从而限制和影响供应商投标（响应）。</w:t>
      </w:r>
    </w:p>
    <w:bookmarkEnd w:id="33"/>
    <w:p>
      <w:pPr>
        <w:spacing w:before="120" w:line="360" w:lineRule="auto"/>
        <w:ind w:firstLine="413" w:firstLineChars="196"/>
        <w:outlineLvl w:val="1"/>
        <w:rPr>
          <w:b/>
          <w:bCs/>
          <w:kern w:val="0"/>
          <w:szCs w:val="21"/>
        </w:rPr>
      </w:pPr>
      <w:bookmarkStart w:id="34" w:name="_Hlk19176155"/>
      <w:r>
        <w:rPr>
          <w:b/>
          <w:bCs/>
          <w:kern w:val="0"/>
          <w:szCs w:val="21"/>
        </w:rPr>
        <w:t>8、澄清、说明或补正</w:t>
      </w:r>
    </w:p>
    <w:p>
      <w:pPr>
        <w:adjustRightInd w:val="0"/>
        <w:snapToGrid w:val="0"/>
        <w:spacing w:line="360" w:lineRule="auto"/>
        <w:ind w:firstLine="420" w:firstLineChars="200"/>
        <w:jc w:val="left"/>
        <w:rPr>
          <w:szCs w:val="21"/>
        </w:rPr>
      </w:pPr>
      <w:bookmarkStart w:id="35" w:name="_Hlk19113333"/>
      <w:r>
        <w:rPr>
          <w:szCs w:val="21"/>
        </w:rPr>
        <w:t>对投标文件中含义不明确、同类问题表述不一致或者有明显文字和计算错误的内容，</w:t>
      </w:r>
      <w:r>
        <w:rPr>
          <w:rFonts w:hint="eastAsia"/>
          <w:szCs w:val="21"/>
        </w:rPr>
        <w:t>评标委员会可要求供应商在合理时间内通过电话、电子邮件或传真等不见面、不接触的方式作出必要的澄清、说明或者纠正。内容不得超出投标文件的范围或者改变投标文件的实质性内容。逾期未做澄清、说明或者纠正的，经电话催告仍不澄清的，视为放弃。</w:t>
      </w:r>
    </w:p>
    <w:bookmarkEnd w:id="35"/>
    <w:p>
      <w:pPr>
        <w:spacing w:before="120" w:line="320" w:lineRule="atLeast"/>
        <w:ind w:firstLine="413" w:firstLineChars="196"/>
        <w:outlineLvl w:val="1"/>
        <w:rPr>
          <w:b/>
          <w:bCs/>
          <w:kern w:val="0"/>
          <w:szCs w:val="21"/>
        </w:rPr>
      </w:pPr>
      <w:bookmarkStart w:id="36" w:name="_Hlk19113363"/>
      <w:r>
        <w:rPr>
          <w:b/>
          <w:bCs/>
          <w:kern w:val="0"/>
          <w:szCs w:val="21"/>
        </w:rPr>
        <w:t>9</w:t>
      </w:r>
      <w:r>
        <w:rPr>
          <w:rFonts w:hint="eastAsia"/>
          <w:b/>
          <w:bCs/>
          <w:kern w:val="0"/>
          <w:szCs w:val="21"/>
        </w:rPr>
        <w:t>、报价</w:t>
      </w:r>
      <w:r>
        <w:rPr>
          <w:b/>
          <w:bCs/>
          <w:kern w:val="0"/>
          <w:szCs w:val="21"/>
        </w:rPr>
        <w:t>修正</w:t>
      </w:r>
    </w:p>
    <w:p>
      <w:pPr>
        <w:spacing w:before="120" w:line="320" w:lineRule="atLeast"/>
        <w:ind w:firstLine="420" w:firstLineChars="200"/>
        <w:rPr>
          <w:szCs w:val="21"/>
        </w:rPr>
      </w:pPr>
      <w:r>
        <w:rPr>
          <w:szCs w:val="21"/>
        </w:rPr>
        <w:t>投标文件</w:t>
      </w:r>
      <w:r>
        <w:rPr>
          <w:rFonts w:hint="eastAsia"/>
          <w:szCs w:val="21"/>
        </w:rPr>
        <w:t>报价</w:t>
      </w:r>
      <w:r>
        <w:rPr>
          <w:szCs w:val="21"/>
        </w:rPr>
        <w:t>如果出现计算或表达上的错误，修正错误的原则如下：</w:t>
      </w:r>
    </w:p>
    <w:p>
      <w:pPr>
        <w:spacing w:before="120" w:line="320" w:lineRule="atLeast"/>
        <w:ind w:firstLine="420" w:firstLineChars="200"/>
        <w:rPr>
          <w:szCs w:val="21"/>
        </w:rPr>
      </w:pPr>
      <w:r>
        <w:rPr>
          <w:szCs w:val="21"/>
        </w:rPr>
        <w:t>（1）投标文件中开标一览表（报价表）内容与投标文件中相应内容不一致的，以开标一览表（报价表）为准；</w:t>
      </w:r>
    </w:p>
    <w:p>
      <w:pPr>
        <w:spacing w:before="120" w:line="320" w:lineRule="atLeast"/>
        <w:ind w:firstLine="420" w:firstLineChars="200"/>
        <w:rPr>
          <w:szCs w:val="21"/>
        </w:rPr>
      </w:pPr>
      <w:r>
        <w:rPr>
          <w:szCs w:val="21"/>
        </w:rPr>
        <w:t>（2）大写金额和小写金额不一致的，以大写金额为准；</w:t>
      </w:r>
    </w:p>
    <w:p>
      <w:pPr>
        <w:spacing w:before="120" w:line="320" w:lineRule="atLeast"/>
        <w:ind w:firstLine="420" w:firstLineChars="200"/>
        <w:rPr>
          <w:szCs w:val="21"/>
        </w:rPr>
      </w:pPr>
      <w:r>
        <w:rPr>
          <w:szCs w:val="21"/>
        </w:rPr>
        <w:t>（3）单价金额小数点或者百分比有明显错位的，以开标一览表的总价为准，并修改单价；</w:t>
      </w:r>
    </w:p>
    <w:p>
      <w:pPr>
        <w:spacing w:before="120" w:line="320" w:lineRule="atLeast"/>
        <w:ind w:firstLine="420" w:firstLineChars="200"/>
        <w:rPr>
          <w:szCs w:val="21"/>
        </w:rPr>
      </w:pPr>
      <w:r>
        <w:rPr>
          <w:szCs w:val="21"/>
        </w:rPr>
        <w:t>（4）总价金额与按单价汇总金额不一致的，以单价金额计算结果为准</w:t>
      </w:r>
      <w:r>
        <w:rPr>
          <w:rFonts w:hint="eastAsia"/>
          <w:szCs w:val="21"/>
        </w:rPr>
        <w:t>。</w:t>
      </w:r>
    </w:p>
    <w:p>
      <w:pPr>
        <w:spacing w:before="120" w:line="320" w:lineRule="atLeast"/>
        <w:ind w:firstLine="420" w:firstLineChars="200"/>
        <w:rPr>
          <w:szCs w:val="21"/>
        </w:rPr>
      </w:pPr>
      <w:r>
        <w:rPr>
          <w:rFonts w:hint="eastAsia"/>
          <w:szCs w:val="21"/>
        </w:rPr>
        <w:t>同时出现两种以上不一致的，按照上述顺序修正。修正后的报价按照上述“</w:t>
      </w:r>
      <w:r>
        <w:rPr>
          <w:szCs w:val="21"/>
        </w:rPr>
        <w:t>8</w:t>
      </w:r>
      <w:r>
        <w:rPr>
          <w:rFonts w:hint="eastAsia"/>
          <w:szCs w:val="21"/>
        </w:rPr>
        <w:t>、澄清、说明或补正”的规定经供应商确认后产生约束力，供应商不确认的，其投标无效。</w:t>
      </w:r>
    </w:p>
    <w:bookmarkEnd w:id="34"/>
    <w:p>
      <w:pPr>
        <w:spacing w:before="120" w:line="320" w:lineRule="atLeast"/>
        <w:ind w:firstLine="413" w:firstLineChars="196"/>
        <w:outlineLvl w:val="1"/>
        <w:rPr>
          <w:b/>
          <w:bCs/>
          <w:kern w:val="0"/>
          <w:szCs w:val="21"/>
        </w:rPr>
      </w:pPr>
      <w:r>
        <w:rPr>
          <w:b/>
          <w:bCs/>
          <w:kern w:val="0"/>
          <w:szCs w:val="21"/>
        </w:rPr>
        <w:t>10、过低报价合理性的审查</w:t>
      </w:r>
    </w:p>
    <w:p>
      <w:pPr>
        <w:spacing w:before="120" w:line="320" w:lineRule="atLeast"/>
        <w:ind w:firstLine="420" w:firstLineChars="200"/>
        <w:rPr>
          <w:szCs w:val="21"/>
        </w:rPr>
      </w:pPr>
      <w:r>
        <w:t>评标委员会认为供应商的报价明显低于其他通过符合性审查供应商的报价，有可能影响产品质量或者不能诚信履约的，应当要求其在合理的时间内提供书面说明并提交相关证明材料；</w:t>
      </w:r>
      <w:r>
        <w:rPr>
          <w:rFonts w:hint="eastAsia"/>
        </w:rPr>
        <w:t>评标委员会可以要求</w:t>
      </w:r>
      <w:r>
        <w:t>供应商就提供货物的主</w:t>
      </w:r>
      <w:r>
        <w:rPr>
          <w:rFonts w:hint="eastAsia"/>
        </w:rPr>
        <w:t>要</w:t>
      </w:r>
      <w:r>
        <w:t>成本、销售费用、管理费用、财务费用、履约费用、计划利润、税金及附加等成本构成事项</w:t>
      </w:r>
      <w:r>
        <w:rPr>
          <w:rFonts w:hint="eastAsia"/>
        </w:rPr>
        <w:t>进行</w:t>
      </w:r>
      <w:r>
        <w:t>详细陈述。书面说明应当</w:t>
      </w:r>
      <w:r>
        <w:rPr>
          <w:rFonts w:hint="eastAsia"/>
          <w:szCs w:val="21"/>
        </w:rPr>
        <w:t>按照上述“</w:t>
      </w:r>
      <w:r>
        <w:rPr>
          <w:szCs w:val="21"/>
        </w:rPr>
        <w:t>8</w:t>
      </w:r>
      <w:r>
        <w:rPr>
          <w:rFonts w:hint="eastAsia"/>
          <w:szCs w:val="21"/>
        </w:rPr>
        <w:t>、澄清、说明或补正”的规定经供应商确认后提交给评标委员会。</w:t>
      </w:r>
      <w:r>
        <w:t>供应商</w:t>
      </w:r>
      <w:r>
        <w:rPr>
          <w:rFonts w:hint="eastAsia"/>
        </w:rPr>
        <w:t>未按规定提供说明或</w:t>
      </w:r>
      <w:r>
        <w:t>不能证明其报价合理性的，评标委员会应当将其作为无效投标处理。</w:t>
      </w:r>
    </w:p>
    <w:p>
      <w:pPr>
        <w:spacing w:before="120" w:line="320" w:lineRule="atLeast"/>
        <w:ind w:firstLine="420" w:firstLineChars="200"/>
      </w:pPr>
      <w:r>
        <w:t>报价合理性书面说明</w:t>
      </w:r>
      <w:r>
        <w:rPr>
          <w:rFonts w:hint="eastAsia"/>
        </w:rPr>
        <w:t>应当有</w:t>
      </w:r>
      <w:r>
        <w:t>签字或盖章确认，供应商为法人的，由其法定代表人或者授权代表签名或盖章确认；供应商为其他组织的，由其主要负责人或者授权代表签名或盖章确认；供应商为自然人的，由其本人或者授权代表签名或盖章确认。</w:t>
      </w:r>
    </w:p>
    <w:p>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1、商务和技术评估、综合比较与评价</w:t>
      </w:r>
    </w:p>
    <w:p>
      <w:pPr>
        <w:spacing w:before="120" w:line="320" w:lineRule="atLeast"/>
        <w:ind w:firstLine="420" w:firstLineChars="200"/>
        <w:rPr>
          <w:szCs w:val="21"/>
        </w:rPr>
      </w:pPr>
      <w:r>
        <w:rPr>
          <w:rFonts w:hint="eastAsia"/>
          <w:szCs w:val="21"/>
        </w:rPr>
        <w:t>评标委员会</w:t>
      </w:r>
      <w:r>
        <w:rPr>
          <w:szCs w:val="21"/>
        </w:rPr>
        <w:t>按招标文件中规定的评标方法和标准，对资格审查和符合性审查合格的投标文件进行商务和技术评估，综合比较与评价。</w:t>
      </w:r>
      <w:r>
        <w:rPr>
          <w:rStyle w:val="127"/>
          <w:rFonts w:hint="eastAsia"/>
        </w:rPr>
        <w:t>具体评标标准见《</w:t>
      </w:r>
      <w:r>
        <w:rPr>
          <w:bCs/>
          <w:kern w:val="0"/>
          <w:szCs w:val="21"/>
        </w:rPr>
        <w:t>评分表</w:t>
      </w:r>
      <w:r>
        <w:rPr>
          <w:rStyle w:val="127"/>
          <w:rFonts w:hint="eastAsia"/>
        </w:rPr>
        <w:t>》。</w:t>
      </w:r>
    </w:p>
    <w:p>
      <w:pPr>
        <w:spacing w:before="120" w:line="320" w:lineRule="atLeast"/>
        <w:ind w:firstLine="420" w:firstLineChars="200"/>
        <w:rPr>
          <w:szCs w:val="21"/>
        </w:rPr>
      </w:pPr>
      <w:r>
        <w:rPr>
          <w:szCs w:val="21"/>
        </w:rPr>
        <w:t>评标委员会各成员独立对每个有效供应商的投标文件进行评价、打分，然后由评标组长组织评标委员会对各成员打分情况进行核查及复核，</w:t>
      </w:r>
      <w:r>
        <w:rPr>
          <w:rFonts w:hint="eastAsia"/>
          <w:szCs w:val="21"/>
        </w:rPr>
        <w:t>评</w:t>
      </w:r>
      <w:r>
        <w:rPr>
          <w:szCs w:val="21"/>
        </w:rPr>
        <w:t>分有误的，应及时进行修正。评标标准如有主客观分定义，评标委员会所有成员的客观分打分分数应当一致。</w:t>
      </w:r>
    </w:p>
    <w:p>
      <w:pPr>
        <w:spacing w:before="120" w:line="320" w:lineRule="atLeast"/>
        <w:ind w:firstLine="420" w:firstLineChars="200"/>
      </w:pPr>
      <w:r>
        <w:rPr>
          <w:szCs w:val="21"/>
        </w:rPr>
        <w:t>复核后，评标委员会汇总每个供应商每项评分因素的得分。</w:t>
      </w:r>
      <w:r>
        <w:t>评标结果汇总完成后，除下列情形外，任何人不得修改评标结果：（1）分值汇总计算错误的；（2）分项评分超出评分标准范围的；（3）评标委员会成员对客观评审因素评分不一致的；（4）经评标委员会认定评分畸高、畸低的。评标报告签署前，经复核发现存在以上情形之一的，评标委员会应当当场修改评标结果，并在评标报告中记载；评标报告签署后，采购人或者采购代理机构发现存在以上情形之一的，应当组织原评标委员会进行重新评审。</w:t>
      </w:r>
    </w:p>
    <w:p>
      <w:pPr>
        <w:spacing w:before="120" w:line="320" w:lineRule="atLeast"/>
        <w:ind w:firstLine="413" w:firstLineChars="196"/>
        <w:outlineLvl w:val="1"/>
        <w:rPr>
          <w:b/>
          <w:bCs/>
          <w:kern w:val="0"/>
          <w:szCs w:val="21"/>
        </w:rPr>
      </w:pPr>
      <w:r>
        <w:rPr>
          <w:b/>
          <w:bCs/>
          <w:kern w:val="0"/>
          <w:szCs w:val="21"/>
        </w:rPr>
        <w:t>12、中标候选人推荐原则</w:t>
      </w:r>
    </w:p>
    <w:p>
      <w:pPr>
        <w:spacing w:before="120" w:line="320" w:lineRule="atLeast"/>
        <w:ind w:firstLine="420" w:firstLineChars="200"/>
        <w:rPr>
          <w:color w:val="auto"/>
          <w:szCs w:val="21"/>
        </w:rPr>
      </w:pPr>
      <w:r>
        <w:rPr>
          <w:szCs w:val="21"/>
        </w:rPr>
        <w:t>按评标</w:t>
      </w:r>
      <w:r>
        <w:rPr>
          <w:color w:val="auto"/>
          <w:szCs w:val="21"/>
        </w:rPr>
        <w:t>后得分由高到低的排列顺序推荐综合得分排名第一的为第一中标候选人。若中标候选人综合得分相同的，按投标报价由低到高顺序排列；综合得分且投标报价相同的</w:t>
      </w:r>
      <w:r>
        <w:rPr>
          <w:color w:val="auto"/>
        </w:rPr>
        <w:t>并列</w:t>
      </w:r>
      <w:r>
        <w:rPr>
          <w:color w:val="auto"/>
          <w:szCs w:val="21"/>
        </w:rPr>
        <w:t>；中标候选人并列的，</w:t>
      </w:r>
      <w:r>
        <w:rPr>
          <w:color w:val="auto"/>
        </w:rPr>
        <w:t>由采购人</w:t>
      </w:r>
      <w:r>
        <w:rPr>
          <w:color w:val="auto"/>
          <w:szCs w:val="21"/>
        </w:rPr>
        <w:t>按技术部分得分由高到低顺序排列，若综合得分、投标报价、技术部分均相同的，按商务部分得分由高到低顺序排列。</w:t>
      </w:r>
    </w:p>
    <w:p>
      <w:pPr>
        <w:spacing w:before="120" w:line="320" w:lineRule="atLeast"/>
        <w:ind w:firstLine="413" w:firstLineChars="196"/>
        <w:outlineLvl w:val="1"/>
        <w:rPr>
          <w:b/>
          <w:bCs/>
          <w:kern w:val="0"/>
          <w:szCs w:val="21"/>
        </w:rPr>
      </w:pPr>
      <w:r>
        <w:rPr>
          <w:b/>
          <w:bCs/>
          <w:kern w:val="0"/>
          <w:szCs w:val="21"/>
        </w:rPr>
        <w:t>13、评标争议处理</w:t>
      </w:r>
    </w:p>
    <w:p>
      <w:pPr>
        <w:spacing w:before="120" w:line="320" w:lineRule="atLeast"/>
        <w:ind w:firstLine="420" w:firstLineChars="200"/>
      </w:pPr>
      <w:r>
        <w:t>评标委员会成员对需要共同认定的事项存在争议的，应当按照少数服从多数的原则作出结论。持不同意见的评标委员会成员应当在评标报告上签署不同意见及理由，否则视为同意评标报告。</w:t>
      </w:r>
    </w:p>
    <w:bookmarkEnd w:id="36"/>
    <w:p>
      <w:pPr>
        <w:spacing w:before="120" w:line="320" w:lineRule="atLeast"/>
        <w:ind w:firstLine="413" w:firstLineChars="196"/>
        <w:outlineLvl w:val="1"/>
        <w:rPr>
          <w:b/>
          <w:bCs/>
          <w:kern w:val="0"/>
          <w:szCs w:val="21"/>
        </w:rPr>
      </w:pPr>
      <w:r>
        <w:rPr>
          <w:b/>
          <w:bCs/>
          <w:kern w:val="0"/>
        </w:rPr>
        <w:br w:type="page"/>
      </w:r>
      <w:bookmarkStart w:id="37" w:name="_Hlk19113393"/>
      <w:r>
        <w:rPr>
          <w:rFonts w:hint="eastAsia"/>
          <w:b/>
          <w:bCs/>
          <w:kern w:val="0"/>
          <w:szCs w:val="21"/>
        </w:rPr>
        <w:t>四</w:t>
      </w:r>
      <w:r>
        <w:rPr>
          <w:b/>
          <w:bCs/>
          <w:kern w:val="0"/>
          <w:szCs w:val="21"/>
        </w:rPr>
        <w:t>、评标标准</w:t>
      </w:r>
    </w:p>
    <w:bookmarkEnd w:id="37"/>
    <w:p>
      <w:pPr>
        <w:spacing w:before="120" w:line="320" w:lineRule="atLeast"/>
        <w:outlineLvl w:val="1"/>
        <w:rPr>
          <w:bCs/>
          <w:kern w:val="0"/>
          <w:szCs w:val="21"/>
        </w:rPr>
      </w:pPr>
      <w:r>
        <w:rPr>
          <w:bCs/>
          <w:kern w:val="0"/>
          <w:szCs w:val="21"/>
        </w:rPr>
        <w:t>（一）评分表</w:t>
      </w:r>
    </w:p>
    <w:tbl>
      <w:tblPr>
        <w:tblStyle w:val="57"/>
        <w:tblW w:w="101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62"/>
        <w:gridCol w:w="1012"/>
        <w:gridCol w:w="911"/>
        <w:gridCol w:w="5026"/>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noWrap w:val="0"/>
            <w:vAlign w:val="center"/>
          </w:tcPr>
          <w:p>
            <w:pPr>
              <w:spacing w:line="300" w:lineRule="auto"/>
              <w:jc w:val="center"/>
              <w:rPr>
                <w:b/>
                <w:szCs w:val="21"/>
              </w:rPr>
            </w:pPr>
            <w:r>
              <w:rPr>
                <w:b/>
                <w:szCs w:val="21"/>
              </w:rPr>
              <w:t>序号</w:t>
            </w:r>
          </w:p>
        </w:tc>
        <w:tc>
          <w:tcPr>
            <w:tcW w:w="1674" w:type="dxa"/>
            <w:gridSpan w:val="2"/>
            <w:noWrap w:val="0"/>
            <w:vAlign w:val="center"/>
          </w:tcPr>
          <w:p>
            <w:pPr>
              <w:spacing w:line="300" w:lineRule="auto"/>
              <w:jc w:val="center"/>
              <w:rPr>
                <w:b/>
                <w:szCs w:val="21"/>
              </w:rPr>
            </w:pPr>
            <w:r>
              <w:rPr>
                <w:b/>
                <w:szCs w:val="21"/>
              </w:rPr>
              <w:t>评标因素及分值</w:t>
            </w:r>
          </w:p>
        </w:tc>
        <w:tc>
          <w:tcPr>
            <w:tcW w:w="911" w:type="dxa"/>
            <w:noWrap w:val="0"/>
            <w:vAlign w:val="center"/>
          </w:tcPr>
          <w:p>
            <w:pPr>
              <w:spacing w:line="300" w:lineRule="auto"/>
              <w:jc w:val="center"/>
              <w:rPr>
                <w:b/>
                <w:szCs w:val="21"/>
              </w:rPr>
            </w:pPr>
            <w:r>
              <w:rPr>
                <w:b/>
                <w:szCs w:val="21"/>
              </w:rPr>
              <w:t>分值</w:t>
            </w:r>
          </w:p>
          <w:p>
            <w:pPr>
              <w:spacing w:line="300" w:lineRule="auto"/>
              <w:jc w:val="center"/>
              <w:rPr>
                <w:b/>
                <w:szCs w:val="21"/>
              </w:rPr>
            </w:pPr>
            <w:r>
              <w:rPr>
                <w:b/>
                <w:szCs w:val="21"/>
              </w:rPr>
              <w:t>属性</w:t>
            </w:r>
          </w:p>
        </w:tc>
        <w:tc>
          <w:tcPr>
            <w:tcW w:w="5026" w:type="dxa"/>
            <w:noWrap w:val="0"/>
            <w:vAlign w:val="center"/>
          </w:tcPr>
          <w:p>
            <w:pPr>
              <w:spacing w:line="300" w:lineRule="auto"/>
              <w:jc w:val="center"/>
              <w:rPr>
                <w:b/>
                <w:szCs w:val="21"/>
              </w:rPr>
            </w:pPr>
            <w:r>
              <w:rPr>
                <w:b/>
                <w:szCs w:val="21"/>
              </w:rPr>
              <w:t>评标标准</w:t>
            </w:r>
          </w:p>
        </w:tc>
        <w:tc>
          <w:tcPr>
            <w:tcW w:w="2077" w:type="dxa"/>
            <w:noWrap w:val="0"/>
            <w:vAlign w:val="center"/>
          </w:tcPr>
          <w:p>
            <w:pPr>
              <w:spacing w:line="300" w:lineRule="auto"/>
              <w:jc w:val="center"/>
              <w:rPr>
                <w:b/>
                <w:szCs w:val="21"/>
              </w:rPr>
            </w:pPr>
            <w:r>
              <w:rPr>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426" w:type="dxa"/>
            <w:vMerge w:val="restart"/>
            <w:noWrap w:val="0"/>
            <w:vAlign w:val="center"/>
          </w:tcPr>
          <w:p>
            <w:pPr>
              <w:spacing w:line="300" w:lineRule="auto"/>
              <w:jc w:val="center"/>
              <w:rPr>
                <w:szCs w:val="21"/>
              </w:rPr>
            </w:pPr>
            <w:r>
              <w:rPr>
                <w:szCs w:val="21"/>
              </w:rPr>
              <w:t>1</w:t>
            </w:r>
          </w:p>
        </w:tc>
        <w:tc>
          <w:tcPr>
            <w:tcW w:w="662" w:type="dxa"/>
            <w:vMerge w:val="restart"/>
            <w:noWrap w:val="0"/>
            <w:vAlign w:val="center"/>
          </w:tcPr>
          <w:p>
            <w:pPr>
              <w:spacing w:line="300" w:lineRule="auto"/>
              <w:jc w:val="center"/>
              <w:rPr>
                <w:szCs w:val="21"/>
              </w:rPr>
            </w:pPr>
            <w:r>
              <w:rPr>
                <w:szCs w:val="21"/>
              </w:rPr>
              <w:t>商务部分</w:t>
            </w:r>
          </w:p>
          <w:p>
            <w:pPr>
              <w:spacing w:line="300" w:lineRule="auto"/>
              <w:jc w:val="center"/>
              <w:rPr>
                <w:szCs w:val="21"/>
              </w:rPr>
            </w:pPr>
            <w:r>
              <w:rPr>
                <w:szCs w:val="21"/>
              </w:rPr>
              <w:t>（18分）</w:t>
            </w:r>
          </w:p>
        </w:tc>
        <w:tc>
          <w:tcPr>
            <w:tcW w:w="1012" w:type="dxa"/>
            <w:vMerge w:val="restart"/>
            <w:noWrap w:val="0"/>
            <w:vAlign w:val="center"/>
          </w:tcPr>
          <w:p>
            <w:pPr>
              <w:spacing w:line="300" w:lineRule="auto"/>
              <w:jc w:val="center"/>
              <w:rPr>
                <w:szCs w:val="21"/>
              </w:rPr>
            </w:pPr>
            <w:r>
              <w:rPr>
                <w:szCs w:val="21"/>
              </w:rPr>
              <w:t>售后服务及实施方案分（13分）</w:t>
            </w:r>
          </w:p>
        </w:tc>
        <w:tc>
          <w:tcPr>
            <w:tcW w:w="911" w:type="dxa"/>
            <w:noWrap w:val="0"/>
            <w:vAlign w:val="center"/>
          </w:tcPr>
          <w:p>
            <w:pPr>
              <w:pStyle w:val="28"/>
              <w:spacing w:line="300" w:lineRule="auto"/>
              <w:rPr>
                <w:rFonts w:ascii="Times New Roman" w:hAnsi="Times New Roman" w:cs="Times New Roman"/>
                <w:b/>
                <w:bCs/>
              </w:rPr>
            </w:pPr>
            <w:r>
              <w:rPr>
                <w:rFonts w:hint="eastAsia" w:ascii="Times New Roman" w:hAnsi="Times New Roman" w:cs="Times New Roman"/>
              </w:rPr>
              <w:t>客</w:t>
            </w:r>
            <w:r>
              <w:rPr>
                <w:rFonts w:ascii="Times New Roman" w:hAnsi="Times New Roman" w:cs="Times New Roman"/>
              </w:rPr>
              <w:t>观分</w:t>
            </w:r>
          </w:p>
        </w:tc>
        <w:tc>
          <w:tcPr>
            <w:tcW w:w="5026" w:type="dxa"/>
            <w:noWrap w:val="0"/>
            <w:vAlign w:val="center"/>
          </w:tcPr>
          <w:p>
            <w:pPr>
              <w:pStyle w:val="28"/>
              <w:spacing w:line="300" w:lineRule="auto"/>
              <w:rPr>
                <w:rFonts w:hint="eastAsia" w:ascii="Times New Roman" w:hAnsi="Times New Roman" w:cs="Times New Roman"/>
              </w:rPr>
            </w:pPr>
          </w:p>
          <w:p>
            <w:pPr>
              <w:pStyle w:val="28"/>
              <w:spacing w:line="300" w:lineRule="auto"/>
              <w:rPr>
                <w:rFonts w:ascii="Times New Roman" w:hAnsi="Times New Roman" w:cs="Times New Roman"/>
                <w:b/>
                <w:bCs/>
              </w:rPr>
            </w:pPr>
            <w:r>
              <w:rPr>
                <w:rFonts w:hint="eastAsia" w:ascii="Times New Roman" w:hAnsi="Times New Roman" w:cs="Times New Roman"/>
              </w:rPr>
              <w:t>（1）</w:t>
            </w:r>
            <w:r>
              <w:rPr>
                <w:rFonts w:hint="eastAsia" w:ascii="Times New Roman" w:hAnsi="Times New Roman" w:cs="Times New Roman"/>
                <w:lang w:eastAsia="zh-CN"/>
              </w:rPr>
              <w:t>在满足招标文件质保期的前提下</w:t>
            </w:r>
            <w:r>
              <w:rPr>
                <w:rFonts w:hint="eastAsia" w:ascii="Times New Roman" w:hAnsi="Times New Roman" w:cs="Times New Roman"/>
              </w:rPr>
              <w:t>投标人承诺每延长一年质保期加1分，最高得1分。</w:t>
            </w:r>
          </w:p>
        </w:tc>
        <w:tc>
          <w:tcPr>
            <w:tcW w:w="2077" w:type="dxa"/>
            <w:vMerge w:val="restart"/>
            <w:noWrap w:val="0"/>
            <w:vAlign w:val="center"/>
          </w:tcPr>
          <w:p>
            <w:pPr>
              <w:spacing w:line="300" w:lineRule="auto"/>
              <w:rPr>
                <w:szCs w:val="21"/>
                <w:highlight w:val="yellow"/>
              </w:rPr>
            </w:pPr>
            <w:r>
              <w:rPr>
                <w:szCs w:val="21"/>
              </w:rPr>
              <w:t>按各投标人所提供的</w:t>
            </w:r>
            <w:r>
              <w:rPr>
                <w:rFonts w:hint="eastAsia"/>
                <w:szCs w:val="21"/>
              </w:rPr>
              <w:t>售后服务及</w:t>
            </w:r>
            <w:r>
              <w:rPr>
                <w:szCs w:val="21"/>
              </w:rPr>
              <w:t>针对本项目实施工作方案（包括人员组织、工作内容、时间进度表、项目验收、项目实施人员配置等）进行评分。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7" w:hRule="atLeast"/>
          <w:jc w:val="center"/>
        </w:trPr>
        <w:tc>
          <w:tcPr>
            <w:tcW w:w="426" w:type="dxa"/>
            <w:vMerge w:val="continue"/>
            <w:noWrap w:val="0"/>
            <w:vAlign w:val="center"/>
          </w:tcPr>
          <w:p>
            <w:pPr>
              <w:spacing w:line="300" w:lineRule="auto"/>
              <w:jc w:val="center"/>
              <w:rPr>
                <w:szCs w:val="21"/>
              </w:rPr>
            </w:pPr>
          </w:p>
        </w:tc>
        <w:tc>
          <w:tcPr>
            <w:tcW w:w="662" w:type="dxa"/>
            <w:vMerge w:val="continue"/>
            <w:noWrap w:val="0"/>
            <w:vAlign w:val="center"/>
          </w:tcPr>
          <w:p>
            <w:pPr>
              <w:spacing w:line="300" w:lineRule="auto"/>
              <w:jc w:val="center"/>
              <w:rPr>
                <w:szCs w:val="21"/>
              </w:rPr>
            </w:pPr>
          </w:p>
        </w:tc>
        <w:tc>
          <w:tcPr>
            <w:tcW w:w="1012" w:type="dxa"/>
            <w:vMerge w:val="continue"/>
            <w:noWrap w:val="0"/>
            <w:vAlign w:val="center"/>
          </w:tcPr>
          <w:p>
            <w:pPr>
              <w:spacing w:line="300" w:lineRule="auto"/>
              <w:jc w:val="center"/>
              <w:rPr>
                <w:szCs w:val="21"/>
              </w:rPr>
            </w:pPr>
          </w:p>
        </w:tc>
        <w:tc>
          <w:tcPr>
            <w:tcW w:w="911" w:type="dxa"/>
            <w:noWrap w:val="0"/>
            <w:vAlign w:val="center"/>
          </w:tcPr>
          <w:p>
            <w:pPr>
              <w:pStyle w:val="28"/>
              <w:spacing w:line="300" w:lineRule="auto"/>
              <w:rPr>
                <w:rFonts w:hint="eastAsia" w:ascii="Times New Roman" w:hAnsi="Times New Roman" w:cs="Times New Roman"/>
              </w:rPr>
            </w:pPr>
            <w:r>
              <w:rPr>
                <w:rFonts w:hint="eastAsia" w:ascii="Times New Roman" w:hAnsi="Times New Roman" w:cs="Times New Roman"/>
              </w:rPr>
              <w:t>主观分</w:t>
            </w:r>
          </w:p>
        </w:tc>
        <w:tc>
          <w:tcPr>
            <w:tcW w:w="5026" w:type="dxa"/>
            <w:noWrap w:val="0"/>
            <w:vAlign w:val="center"/>
          </w:tcPr>
          <w:p>
            <w:pPr>
              <w:pStyle w:val="28"/>
              <w:spacing w:line="300" w:lineRule="auto"/>
              <w:rPr>
                <w:rFonts w:hint="eastAsia"/>
              </w:rPr>
            </w:pPr>
            <w:r>
              <w:rPr>
                <w:rFonts w:hint="eastAsia"/>
              </w:rPr>
              <w:t>售后服务方案分（满分</w:t>
            </w:r>
            <w:r>
              <w:t>6</w:t>
            </w:r>
            <w:r>
              <w:rPr>
                <w:rFonts w:hint="eastAsia"/>
              </w:rPr>
              <w:t>分）</w:t>
            </w:r>
          </w:p>
          <w:p>
            <w:pPr>
              <w:pStyle w:val="28"/>
              <w:spacing w:line="300" w:lineRule="auto"/>
              <w:rPr>
                <w:rFonts w:hint="eastAsia"/>
              </w:rPr>
            </w:pPr>
            <w:r>
              <w:rPr>
                <w:rFonts w:hint="eastAsia"/>
              </w:rPr>
              <w:t>一档（0分）：投标人提供了的售后服务方案表述内容有较多欠缺或表述的内容简单；</w:t>
            </w:r>
          </w:p>
          <w:p>
            <w:pPr>
              <w:pStyle w:val="28"/>
              <w:spacing w:line="300" w:lineRule="auto"/>
              <w:rPr>
                <w:rFonts w:hint="eastAsia"/>
              </w:rPr>
            </w:pPr>
            <w:r>
              <w:rPr>
                <w:rFonts w:hint="eastAsia"/>
              </w:rPr>
              <w:t>二档（3分）：投标人提供了项目较为具体的售后服务方案，对售后工作有简单的分析，具有可行性，方案满足采购文件要求；</w:t>
            </w:r>
          </w:p>
          <w:p>
            <w:pPr>
              <w:pStyle w:val="28"/>
              <w:spacing w:line="300" w:lineRule="auto"/>
              <w:rPr>
                <w:rFonts w:hint="eastAsia" w:ascii="Times New Roman" w:hAnsi="Times New Roman" w:cs="Times New Roman"/>
              </w:rPr>
            </w:pPr>
            <w:r>
              <w:rPr>
                <w:rFonts w:hint="eastAsia"/>
              </w:rPr>
              <w:t>三档（6分）：投标人提供了项目具体的售后服务方案，对售后工作有深入的分析，详细说明了售后各个阶段工作、人员安排，可操作性强的，投标产品厂商具备具有完善的售后服务体系，专业的售后服务专业队伍，健全的售后服务制度和质量监测体系。</w:t>
            </w:r>
          </w:p>
        </w:tc>
        <w:tc>
          <w:tcPr>
            <w:tcW w:w="2077" w:type="dxa"/>
            <w:vMerge w:val="continue"/>
            <w:noWrap w:val="0"/>
            <w:vAlign w:val="center"/>
          </w:tcPr>
          <w:p>
            <w:pPr>
              <w:spacing w:line="30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noWrap w:val="0"/>
            <w:vAlign w:val="center"/>
          </w:tcPr>
          <w:p>
            <w:pPr>
              <w:spacing w:line="300" w:lineRule="auto"/>
              <w:jc w:val="center"/>
              <w:rPr>
                <w:szCs w:val="21"/>
                <w:highlight w:val="yellow"/>
              </w:rPr>
            </w:pPr>
          </w:p>
        </w:tc>
        <w:tc>
          <w:tcPr>
            <w:tcW w:w="662" w:type="dxa"/>
            <w:vMerge w:val="continue"/>
            <w:noWrap w:val="0"/>
            <w:vAlign w:val="center"/>
          </w:tcPr>
          <w:p>
            <w:pPr>
              <w:spacing w:line="300" w:lineRule="auto"/>
              <w:jc w:val="center"/>
              <w:rPr>
                <w:szCs w:val="21"/>
                <w:highlight w:val="yellow"/>
              </w:rPr>
            </w:pPr>
          </w:p>
        </w:tc>
        <w:tc>
          <w:tcPr>
            <w:tcW w:w="1012" w:type="dxa"/>
            <w:vMerge w:val="continue"/>
            <w:noWrap w:val="0"/>
            <w:vAlign w:val="center"/>
          </w:tcPr>
          <w:p>
            <w:pPr>
              <w:spacing w:line="300" w:lineRule="auto"/>
              <w:jc w:val="center"/>
              <w:rPr>
                <w:szCs w:val="21"/>
                <w:highlight w:val="yellow"/>
              </w:rPr>
            </w:pPr>
          </w:p>
        </w:tc>
        <w:tc>
          <w:tcPr>
            <w:tcW w:w="911" w:type="dxa"/>
            <w:noWrap w:val="0"/>
            <w:vAlign w:val="center"/>
          </w:tcPr>
          <w:p>
            <w:pPr>
              <w:spacing w:line="300" w:lineRule="auto"/>
              <w:jc w:val="center"/>
              <w:rPr>
                <w:szCs w:val="21"/>
                <w:highlight w:val="yellow"/>
              </w:rPr>
            </w:pPr>
            <w:r>
              <w:rPr>
                <w:rFonts w:hint="eastAsia"/>
              </w:rPr>
              <w:t>主观分</w:t>
            </w:r>
          </w:p>
        </w:tc>
        <w:tc>
          <w:tcPr>
            <w:tcW w:w="5026" w:type="dxa"/>
            <w:noWrap w:val="0"/>
            <w:vAlign w:val="center"/>
          </w:tcPr>
          <w:p>
            <w:pPr>
              <w:pStyle w:val="28"/>
              <w:spacing w:line="300" w:lineRule="auto"/>
              <w:rPr>
                <w:rFonts w:hint="eastAsia" w:ascii="Times New Roman" w:hAnsi="Times New Roman" w:cs="Times New Roman"/>
              </w:rPr>
            </w:pPr>
            <w:r>
              <w:rPr>
                <w:rFonts w:ascii="Times New Roman" w:hAnsi="Times New Roman" w:cs="Times New Roman"/>
              </w:rPr>
              <w:t>项目实施方案分</w:t>
            </w:r>
            <w:r>
              <w:rPr>
                <w:rFonts w:hint="eastAsia" w:ascii="Times New Roman" w:hAnsi="Times New Roman" w:cs="Times New Roman"/>
              </w:rPr>
              <w:t>（满分</w:t>
            </w:r>
            <w:r>
              <w:rPr>
                <w:rFonts w:ascii="Times New Roman" w:hAnsi="Times New Roman" w:cs="Times New Roman"/>
              </w:rPr>
              <w:t>6</w:t>
            </w:r>
            <w:r>
              <w:rPr>
                <w:rFonts w:hint="eastAsia" w:ascii="Times New Roman" w:hAnsi="Times New Roman" w:cs="Times New Roman"/>
              </w:rPr>
              <w:t>分）</w:t>
            </w:r>
          </w:p>
          <w:p>
            <w:pPr>
              <w:pStyle w:val="28"/>
              <w:spacing w:line="300" w:lineRule="auto"/>
              <w:rPr>
                <w:rFonts w:hint="eastAsia" w:ascii="Times New Roman" w:hAnsi="Times New Roman" w:cs="Times New Roman"/>
              </w:rPr>
            </w:pPr>
            <w:r>
              <w:rPr>
                <w:rFonts w:hint="eastAsia" w:ascii="Times New Roman" w:hAnsi="Times New Roman" w:cs="Times New Roman"/>
              </w:rPr>
              <w:t>一档（</w:t>
            </w:r>
            <w:r>
              <w:rPr>
                <w:rFonts w:ascii="Times New Roman" w:hAnsi="Times New Roman" w:cs="Times New Roman"/>
              </w:rPr>
              <w:t>2</w:t>
            </w:r>
            <w:r>
              <w:rPr>
                <w:rFonts w:hint="eastAsia" w:ascii="Times New Roman" w:hAnsi="Times New Roman" w:cs="Times New Roman"/>
              </w:rPr>
              <w:t>分）：有实施组织机构、拟派人员、实施规划、实施内容、实施保障、实施进度计划、风险控制、验收方案等，方案满足招标要求且贴合项目实际；</w:t>
            </w:r>
          </w:p>
          <w:p>
            <w:pPr>
              <w:pStyle w:val="28"/>
              <w:spacing w:line="300" w:lineRule="auto"/>
              <w:rPr>
                <w:rFonts w:ascii="Times New Roman" w:hAnsi="Times New Roman" w:cs="Times New Roman"/>
                <w:highlight w:val="yellow"/>
              </w:rPr>
            </w:pPr>
            <w:r>
              <w:rPr>
                <w:rFonts w:hint="eastAsia" w:ascii="Times New Roman" w:hAnsi="Times New Roman" w:cs="Times New Roman"/>
              </w:rPr>
              <w:t>二档（</w:t>
            </w:r>
            <w:r>
              <w:rPr>
                <w:rFonts w:ascii="Times New Roman" w:hAnsi="Times New Roman" w:cs="Times New Roman"/>
              </w:rPr>
              <w:t>6</w:t>
            </w:r>
            <w:r>
              <w:rPr>
                <w:rFonts w:hint="eastAsia" w:ascii="Times New Roman" w:hAnsi="Times New Roman" w:cs="Times New Roman"/>
              </w:rPr>
              <w:t>分）：在一档的基础上，投标人或所投核心产品厂家具有具备符合ISO/IEC 20000-1:2011的《信息安全管理体系认证证书》、具备符合GB/T 22080-201 6/ISO/IEC 27001:2013的《信息技术服务管理体系认证证书》，  投标文件中提供证书复印件加盖供应商公章。</w:t>
            </w:r>
          </w:p>
        </w:tc>
        <w:tc>
          <w:tcPr>
            <w:tcW w:w="2077" w:type="dxa"/>
            <w:vMerge w:val="continue"/>
            <w:noWrap w:val="0"/>
            <w:vAlign w:val="center"/>
          </w:tcPr>
          <w:p>
            <w:pPr>
              <w:spacing w:line="300" w:lineRule="auto"/>
              <w:rPr>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noWrap w:val="0"/>
            <w:vAlign w:val="center"/>
          </w:tcPr>
          <w:p>
            <w:pPr>
              <w:spacing w:line="300" w:lineRule="auto"/>
              <w:jc w:val="center"/>
              <w:rPr>
                <w:szCs w:val="21"/>
                <w:highlight w:val="yellow"/>
              </w:rPr>
            </w:pPr>
          </w:p>
        </w:tc>
        <w:tc>
          <w:tcPr>
            <w:tcW w:w="662" w:type="dxa"/>
            <w:vMerge w:val="continue"/>
            <w:noWrap w:val="0"/>
            <w:vAlign w:val="center"/>
          </w:tcPr>
          <w:p>
            <w:pPr>
              <w:spacing w:line="300" w:lineRule="auto"/>
              <w:jc w:val="center"/>
              <w:rPr>
                <w:szCs w:val="21"/>
                <w:highlight w:val="yellow"/>
              </w:rPr>
            </w:pPr>
          </w:p>
        </w:tc>
        <w:tc>
          <w:tcPr>
            <w:tcW w:w="1012" w:type="dxa"/>
            <w:noWrap w:val="0"/>
            <w:vAlign w:val="center"/>
          </w:tcPr>
          <w:p>
            <w:pPr>
              <w:spacing w:line="300" w:lineRule="auto"/>
              <w:jc w:val="center"/>
              <w:rPr>
                <w:szCs w:val="21"/>
              </w:rPr>
            </w:pPr>
            <w:r>
              <w:rPr>
                <w:rFonts w:hint="eastAsia"/>
                <w:szCs w:val="21"/>
              </w:rPr>
              <w:t>信誉实力分（满分</w:t>
            </w:r>
            <w:r>
              <w:rPr>
                <w:szCs w:val="21"/>
              </w:rPr>
              <w:t>5</w:t>
            </w:r>
            <w:r>
              <w:rPr>
                <w:rFonts w:hint="eastAsia"/>
                <w:szCs w:val="21"/>
              </w:rPr>
              <w:t>分）</w:t>
            </w:r>
          </w:p>
        </w:tc>
        <w:tc>
          <w:tcPr>
            <w:tcW w:w="911" w:type="dxa"/>
            <w:tcBorders>
              <w:top w:val="single" w:color="auto" w:sz="4" w:space="0"/>
              <w:bottom w:val="single" w:color="auto" w:sz="4" w:space="0"/>
              <w:right w:val="single" w:color="auto" w:sz="4" w:space="0"/>
            </w:tcBorders>
            <w:noWrap w:val="0"/>
            <w:vAlign w:val="center"/>
          </w:tcPr>
          <w:p>
            <w:pPr>
              <w:spacing w:line="300" w:lineRule="auto"/>
              <w:jc w:val="center"/>
              <w:rPr>
                <w:szCs w:val="21"/>
              </w:rPr>
            </w:pPr>
            <w:r>
              <w:rPr>
                <w:rFonts w:hint="eastAsia"/>
                <w:szCs w:val="21"/>
              </w:rPr>
              <w:t>客观分</w:t>
            </w:r>
          </w:p>
        </w:tc>
        <w:tc>
          <w:tcPr>
            <w:tcW w:w="502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szCs w:val="21"/>
              </w:rPr>
              <w:t>（1）投标人或所投核心产品厂家具有信息技术服务运行维护标准符合性证书（</w:t>
            </w:r>
            <w:r>
              <w:rPr>
                <w:szCs w:val="21"/>
              </w:rPr>
              <w:t>ITSS</w:t>
            </w:r>
            <w:r>
              <w:rPr>
                <w:rFonts w:hint="eastAsia"/>
                <w:szCs w:val="21"/>
              </w:rPr>
              <w:t>）二级或以上得</w:t>
            </w:r>
            <w:r>
              <w:rPr>
                <w:szCs w:val="21"/>
              </w:rPr>
              <w:t>3</w:t>
            </w:r>
            <w:r>
              <w:rPr>
                <w:rFonts w:hint="eastAsia"/>
                <w:szCs w:val="21"/>
              </w:rPr>
              <w:t>分 ，（提供证书复印件加盖供应商公章）。</w:t>
            </w:r>
          </w:p>
          <w:p>
            <w:pPr>
              <w:rPr>
                <w:szCs w:val="21"/>
              </w:rPr>
            </w:pPr>
            <w:r>
              <w:rPr>
                <w:rFonts w:hint="eastAsia"/>
              </w:rPr>
              <w:t>（</w:t>
            </w:r>
            <w:r>
              <w:t>2</w:t>
            </w:r>
            <w:r>
              <w:rPr>
                <w:rFonts w:hint="eastAsia"/>
              </w:rPr>
              <w:t>）</w:t>
            </w:r>
            <w:r>
              <w:rPr>
                <w:rFonts w:hint="eastAsia" w:ascii="宋体" w:hAnsi="宋体" w:cs="宋体"/>
                <w:kern w:val="0"/>
                <w:szCs w:val="21"/>
                <w:lang w:bidi="ar"/>
              </w:rPr>
              <w:t>所投公共广播产品生产厂家参加制订《中国公共广播国家标准》的制订，且是主编单位之一的，得</w:t>
            </w:r>
            <w:r>
              <w:rPr>
                <w:rFonts w:ascii="宋体" w:hAnsi="宋体" w:cs="宋体"/>
                <w:kern w:val="0"/>
                <w:szCs w:val="21"/>
                <w:lang w:bidi="ar"/>
              </w:rPr>
              <w:t>2</w:t>
            </w:r>
            <w:r>
              <w:rPr>
                <w:rFonts w:hint="eastAsia" w:ascii="宋体" w:hAnsi="宋体" w:cs="宋体"/>
                <w:kern w:val="0"/>
                <w:szCs w:val="21"/>
                <w:lang w:bidi="ar"/>
              </w:rPr>
              <w:t>分；(提供有效证明材料并加盖</w:t>
            </w:r>
            <w:r>
              <w:rPr>
                <w:rFonts w:hint="eastAsia"/>
                <w:szCs w:val="21"/>
              </w:rPr>
              <w:t>供应商公章</w:t>
            </w:r>
            <w:r>
              <w:rPr>
                <w:rFonts w:hint="eastAsia" w:ascii="宋体" w:hAnsi="宋体" w:cs="宋体"/>
                <w:kern w:val="0"/>
                <w:szCs w:val="21"/>
                <w:lang w:bidi="ar"/>
              </w:rPr>
              <w:t>)</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szCs w:val="21"/>
              </w:rPr>
            </w:pPr>
            <w:r>
              <w:rPr>
                <w:szCs w:val="21"/>
              </w:rPr>
              <w:t>（1）必须提供证明材料，否则不得分。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noWrap w:val="0"/>
            <w:vAlign w:val="center"/>
          </w:tcPr>
          <w:p>
            <w:pPr>
              <w:spacing w:line="300" w:lineRule="auto"/>
              <w:jc w:val="center"/>
              <w:rPr>
                <w:szCs w:val="21"/>
              </w:rPr>
            </w:pPr>
            <w:r>
              <w:rPr>
                <w:szCs w:val="21"/>
              </w:rPr>
              <w:t>2</w:t>
            </w:r>
          </w:p>
        </w:tc>
        <w:tc>
          <w:tcPr>
            <w:tcW w:w="1674" w:type="dxa"/>
            <w:gridSpan w:val="2"/>
            <w:noWrap w:val="0"/>
            <w:vAlign w:val="center"/>
          </w:tcPr>
          <w:p>
            <w:pPr>
              <w:spacing w:line="300" w:lineRule="auto"/>
              <w:jc w:val="center"/>
              <w:rPr>
                <w:szCs w:val="21"/>
              </w:rPr>
            </w:pPr>
            <w:r>
              <w:rPr>
                <w:szCs w:val="21"/>
              </w:rPr>
              <w:t>政策性加分</w:t>
            </w:r>
          </w:p>
          <w:p>
            <w:pPr>
              <w:spacing w:line="300" w:lineRule="auto"/>
              <w:jc w:val="center"/>
              <w:rPr>
                <w:szCs w:val="21"/>
              </w:rPr>
            </w:pPr>
            <w:r>
              <w:rPr>
                <w:szCs w:val="21"/>
              </w:rPr>
              <w:t>（2分）</w:t>
            </w:r>
          </w:p>
        </w:tc>
        <w:tc>
          <w:tcPr>
            <w:tcW w:w="911" w:type="dxa"/>
            <w:tcBorders>
              <w:top w:val="single" w:color="auto" w:sz="4" w:space="0"/>
              <w:bottom w:val="single" w:color="auto" w:sz="4" w:space="0"/>
              <w:right w:val="single" w:color="auto" w:sz="4" w:space="0"/>
            </w:tcBorders>
            <w:noWrap w:val="0"/>
            <w:vAlign w:val="center"/>
          </w:tcPr>
          <w:p>
            <w:pPr>
              <w:spacing w:line="300" w:lineRule="auto"/>
              <w:jc w:val="center"/>
              <w:rPr>
                <w:szCs w:val="21"/>
              </w:rPr>
            </w:pPr>
            <w:r>
              <w:rPr>
                <w:szCs w:val="21"/>
              </w:rPr>
              <w:t>客观分</w:t>
            </w:r>
          </w:p>
        </w:tc>
        <w:tc>
          <w:tcPr>
            <w:tcW w:w="5026"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szCs w:val="21"/>
              </w:rPr>
            </w:pPr>
            <w:r>
              <w:rPr>
                <w:szCs w:val="21"/>
              </w:rPr>
              <w:t>（1）节能产品分（0.5分）</w:t>
            </w:r>
          </w:p>
          <w:p>
            <w:pPr>
              <w:spacing w:line="300" w:lineRule="auto"/>
              <w:rPr>
                <w:szCs w:val="21"/>
              </w:rPr>
            </w:pPr>
            <w:r>
              <w:rPr>
                <w:szCs w:val="21"/>
              </w:rPr>
              <w:t>属于节能产品政府采购品目清单范围内优先采购的，投标产品需提供国家确定的认证机构出具的、处于有效期之内的节能产品认证证书复印件及品目清单复印件（加盖</w:t>
            </w:r>
            <w:r>
              <w:rPr>
                <w:rFonts w:hint="eastAsia"/>
                <w:szCs w:val="21"/>
              </w:rPr>
              <w:t>供应商</w:t>
            </w:r>
            <w:r>
              <w:rPr>
                <w:szCs w:val="21"/>
              </w:rPr>
              <w:t>公章），每有一项得0.5分，最多得0.5分。采购内容中的强制产品不加分。</w:t>
            </w:r>
          </w:p>
          <w:p>
            <w:pPr>
              <w:spacing w:line="300" w:lineRule="auto"/>
              <w:rPr>
                <w:szCs w:val="21"/>
              </w:rPr>
            </w:pPr>
            <w:r>
              <w:rPr>
                <w:szCs w:val="21"/>
              </w:rPr>
              <w:t>（2）环境标志产品分（0.5分）</w:t>
            </w:r>
          </w:p>
          <w:p>
            <w:pPr>
              <w:spacing w:line="300" w:lineRule="auto"/>
              <w:rPr>
                <w:szCs w:val="21"/>
              </w:rPr>
            </w:pPr>
            <w:r>
              <w:rPr>
                <w:szCs w:val="21"/>
              </w:rPr>
              <w:t>属于环境标志产品政府采购品目清单范围内优先采购的，投标产品需提供国家确定的认证机构出具的、处于有效期之内的环境标志产品认证证书复印件及品目清单复印件（加盖</w:t>
            </w:r>
            <w:r>
              <w:rPr>
                <w:rFonts w:hint="eastAsia"/>
                <w:szCs w:val="21"/>
              </w:rPr>
              <w:t>供应商</w:t>
            </w:r>
            <w:r>
              <w:rPr>
                <w:szCs w:val="21"/>
              </w:rPr>
              <w:t>公章），每有一项得0.5分，最多得0.5分。</w:t>
            </w:r>
          </w:p>
          <w:p>
            <w:pPr>
              <w:spacing w:line="300" w:lineRule="auto"/>
              <w:rPr>
                <w:szCs w:val="21"/>
              </w:rPr>
            </w:pPr>
            <w:r>
              <w:rPr>
                <w:szCs w:val="21"/>
              </w:rPr>
              <w:t>（3）广西工业产品分（1分）</w:t>
            </w:r>
          </w:p>
          <w:p>
            <w:pPr>
              <w:spacing w:line="300" w:lineRule="auto"/>
              <w:rPr>
                <w:szCs w:val="21"/>
              </w:rPr>
            </w:pPr>
            <w:r>
              <w:rPr>
                <w:szCs w:val="21"/>
              </w:rPr>
              <w:t>投标产品使用广西工业产品80%以上的，得1分。</w:t>
            </w:r>
          </w:p>
        </w:tc>
        <w:tc>
          <w:tcPr>
            <w:tcW w:w="2077"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szCs w:val="21"/>
              </w:rPr>
            </w:pPr>
            <w:r>
              <w:rPr>
                <w:szCs w:val="21"/>
              </w:rPr>
              <w:t>（1）必须提供证明材料</w:t>
            </w:r>
            <w:r>
              <w:rPr>
                <w:rFonts w:hint="eastAsia"/>
                <w:szCs w:val="21"/>
              </w:rPr>
              <w:t>，</w:t>
            </w:r>
            <w:r>
              <w:rPr>
                <w:szCs w:val="21"/>
              </w:rPr>
              <w:t>未提供证明材料的不得分。</w:t>
            </w:r>
          </w:p>
          <w:p>
            <w:pPr>
              <w:spacing w:line="300" w:lineRule="auto"/>
              <w:rPr>
                <w:szCs w:val="21"/>
              </w:rPr>
            </w:pPr>
            <w:r>
              <w:rPr>
                <w:szCs w:val="21"/>
              </w:rPr>
              <w:t>（2）</w:t>
            </w:r>
            <w:r>
              <w:rPr>
                <w:bCs/>
                <w:szCs w:val="21"/>
              </w:rPr>
              <w:t>政策性加分说明见后。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3" w:hRule="atLeast"/>
          <w:jc w:val="center"/>
        </w:trPr>
        <w:tc>
          <w:tcPr>
            <w:tcW w:w="426" w:type="dxa"/>
            <w:noWrap w:val="0"/>
            <w:vAlign w:val="center"/>
          </w:tcPr>
          <w:p>
            <w:pPr>
              <w:spacing w:line="300" w:lineRule="auto"/>
              <w:jc w:val="center"/>
              <w:rPr>
                <w:szCs w:val="21"/>
              </w:rPr>
            </w:pPr>
            <w:r>
              <w:rPr>
                <w:szCs w:val="21"/>
              </w:rPr>
              <w:t>3</w:t>
            </w:r>
          </w:p>
        </w:tc>
        <w:tc>
          <w:tcPr>
            <w:tcW w:w="662" w:type="dxa"/>
            <w:noWrap w:val="0"/>
            <w:vAlign w:val="center"/>
          </w:tcPr>
          <w:p>
            <w:pPr>
              <w:spacing w:line="300" w:lineRule="auto"/>
              <w:jc w:val="center"/>
              <w:rPr>
                <w:szCs w:val="21"/>
              </w:rPr>
            </w:pPr>
            <w:r>
              <w:rPr>
                <w:rFonts w:hint="eastAsia"/>
                <w:szCs w:val="21"/>
              </w:rPr>
              <w:t>技术部分（满分</w:t>
            </w:r>
            <w:r>
              <w:rPr>
                <w:szCs w:val="21"/>
              </w:rPr>
              <w:t>30</w:t>
            </w:r>
            <w:r>
              <w:rPr>
                <w:rFonts w:hint="eastAsia"/>
                <w:szCs w:val="21"/>
              </w:rPr>
              <w:t>分）</w:t>
            </w:r>
          </w:p>
        </w:tc>
        <w:tc>
          <w:tcPr>
            <w:tcW w:w="1012" w:type="dxa"/>
            <w:noWrap w:val="0"/>
            <w:vAlign w:val="center"/>
          </w:tcPr>
          <w:p>
            <w:pPr>
              <w:spacing w:line="300" w:lineRule="auto"/>
              <w:jc w:val="center"/>
              <w:rPr>
                <w:szCs w:val="21"/>
                <w:highlight w:val="yellow"/>
              </w:rPr>
            </w:pPr>
            <w:r>
              <w:rPr>
                <w:rFonts w:hint="eastAsia"/>
                <w:szCs w:val="21"/>
              </w:rPr>
              <w:t>设备性能分</w:t>
            </w:r>
          </w:p>
          <w:p>
            <w:pPr>
              <w:spacing w:line="300" w:lineRule="auto"/>
              <w:jc w:val="center"/>
              <w:rPr>
                <w:szCs w:val="21"/>
                <w:highlight w:val="yellow"/>
              </w:rPr>
            </w:pPr>
          </w:p>
        </w:tc>
        <w:tc>
          <w:tcPr>
            <w:tcW w:w="911" w:type="dxa"/>
            <w:tcBorders>
              <w:top w:val="single" w:color="auto" w:sz="4" w:space="0"/>
              <w:right w:val="single" w:color="auto" w:sz="4" w:space="0"/>
            </w:tcBorders>
            <w:noWrap w:val="0"/>
            <w:vAlign w:val="center"/>
          </w:tcPr>
          <w:p>
            <w:pPr>
              <w:spacing w:line="300" w:lineRule="auto"/>
              <w:jc w:val="center"/>
              <w:rPr>
                <w:szCs w:val="21"/>
                <w:highlight w:val="yellow"/>
              </w:rPr>
            </w:pPr>
            <w:r>
              <w:rPr>
                <w:rFonts w:hint="eastAsia"/>
                <w:szCs w:val="21"/>
              </w:rPr>
              <w:t>客观分</w:t>
            </w:r>
          </w:p>
          <w:p>
            <w:pPr>
              <w:spacing w:line="300" w:lineRule="auto"/>
              <w:jc w:val="center"/>
              <w:rPr>
                <w:szCs w:val="21"/>
                <w:highlight w:val="yellow"/>
              </w:rPr>
            </w:pPr>
          </w:p>
        </w:tc>
        <w:tc>
          <w:tcPr>
            <w:tcW w:w="5026" w:type="dxa"/>
            <w:tcBorders>
              <w:top w:val="single" w:color="auto" w:sz="4" w:space="0"/>
              <w:left w:val="single" w:color="auto" w:sz="4" w:space="0"/>
              <w:right w:val="single" w:color="auto" w:sz="4" w:space="0"/>
            </w:tcBorders>
            <w:noWrap w:val="0"/>
            <w:vAlign w:val="center"/>
          </w:tcPr>
          <w:p>
            <w:pPr>
              <w:pStyle w:val="28"/>
              <w:numPr>
                <w:ilvl w:val="0"/>
                <w:numId w:val="4"/>
              </w:numPr>
              <w:spacing w:line="300" w:lineRule="auto"/>
              <w:rPr>
                <w:rFonts w:ascii="Times New Roman" w:hAnsi="Times New Roman" w:cs="Times New Roman"/>
              </w:rPr>
            </w:pPr>
            <w:r>
              <w:rPr>
                <w:rFonts w:ascii="Times New Roman" w:hAnsi="Times New Roman" w:cs="Times New Roman"/>
              </w:rPr>
              <w:t>基本</w:t>
            </w:r>
            <w:r>
              <w:rPr>
                <w:rFonts w:hint="eastAsia" w:ascii="Times New Roman" w:hAnsi="Times New Roman" w:cs="Times New Roman"/>
              </w:rPr>
              <w:t>技术参数</w:t>
            </w:r>
            <w:r>
              <w:rPr>
                <w:rFonts w:ascii="Times New Roman" w:hAnsi="Times New Roman" w:cs="Times New Roman"/>
              </w:rPr>
              <w:t>分（满分6分）</w:t>
            </w:r>
          </w:p>
          <w:p>
            <w:pPr>
              <w:pStyle w:val="28"/>
              <w:spacing w:line="300" w:lineRule="auto"/>
              <w:jc w:val="left"/>
              <w:rPr>
                <w:rFonts w:ascii="Times New Roman" w:hAnsi="Times New Roman" w:cs="Times New Roman"/>
              </w:rPr>
            </w:pPr>
            <w:r>
              <w:rPr>
                <w:rFonts w:hint="eastAsia" w:ascii="Times New Roman" w:hAnsi="Times New Roman" w:cs="Times New Roman"/>
              </w:rPr>
              <w:t>一档（0分）：</w:t>
            </w:r>
            <w:r>
              <w:rPr>
                <w:rFonts w:hint="eastAsia"/>
              </w:rPr>
              <w:t>一般性技术参数</w:t>
            </w:r>
            <w:r>
              <w:rPr>
                <w:rFonts w:ascii="Times New Roman" w:hAnsi="Times New Roman" w:cs="Times New Roman"/>
              </w:rPr>
              <w:t>满足招标文件要求</w:t>
            </w:r>
            <w:r>
              <w:rPr>
                <w:rFonts w:hint="eastAsia" w:ascii="Times New Roman" w:hAnsi="Times New Roman" w:cs="Times New Roman"/>
              </w:rPr>
              <w:t>，有3</w:t>
            </w:r>
            <w:r>
              <w:rPr>
                <w:rFonts w:ascii="Times New Roman" w:hAnsi="Times New Roman" w:cs="Times New Roman"/>
              </w:rPr>
              <w:t>项</w:t>
            </w:r>
            <w:r>
              <w:rPr>
                <w:rFonts w:hint="eastAsia" w:ascii="Times New Roman" w:hAnsi="Times New Roman" w:cs="Times New Roman"/>
              </w:rPr>
              <w:t>或3项以上不带</w:t>
            </w:r>
            <w:r>
              <w:rPr>
                <w:rFonts w:hint="eastAsia" w:ascii="Times New Roman" w:hAnsi="Times New Roman"/>
              </w:rPr>
              <w:t>“</w:t>
            </w:r>
            <w:r>
              <w:rPr>
                <w:rFonts w:hint="eastAsia" w:hAnsi="宋体" w:eastAsia="黑体" w:cs="宋体"/>
                <w:b/>
                <w:sz w:val="24"/>
              </w:rPr>
              <w:t>＃</w:t>
            </w:r>
            <w:r>
              <w:rPr>
                <w:rFonts w:hint="eastAsia" w:ascii="Times New Roman" w:hAnsi="Times New Roman"/>
              </w:rPr>
              <w:t>”及不带“</w:t>
            </w:r>
            <w:r>
              <w:rPr>
                <w:rFonts w:hint="eastAsia" w:ascii="仿宋" w:hAnsi="仿宋" w:eastAsia="仿宋" w:cs="仿宋"/>
              </w:rPr>
              <w:t>▲</w:t>
            </w:r>
            <w:r>
              <w:rPr>
                <w:rFonts w:hint="eastAsia" w:ascii="Times New Roman" w:hAnsi="Times New Roman"/>
              </w:rPr>
              <w:t>”号</w:t>
            </w:r>
            <w:r>
              <w:rPr>
                <w:rFonts w:ascii="Times New Roman" w:hAnsi="Times New Roman"/>
              </w:rPr>
              <w:t>技术</w:t>
            </w:r>
            <w:r>
              <w:rPr>
                <w:rFonts w:hint="eastAsia" w:ascii="Times New Roman" w:hAnsi="Times New Roman"/>
              </w:rPr>
              <w:t>参数</w:t>
            </w:r>
            <w:r>
              <w:rPr>
                <w:rFonts w:hint="eastAsia" w:ascii="Times New Roman" w:hAnsi="Times New Roman" w:cs="Times New Roman"/>
              </w:rPr>
              <w:t>负偏离，不得分</w:t>
            </w:r>
            <w:r>
              <w:rPr>
                <w:rFonts w:ascii="Times New Roman" w:hAnsi="Times New Roman" w:cs="Times New Roman"/>
              </w:rPr>
              <w:t>。</w:t>
            </w:r>
          </w:p>
          <w:p>
            <w:pPr>
              <w:pStyle w:val="28"/>
              <w:spacing w:line="300" w:lineRule="auto"/>
              <w:jc w:val="left"/>
              <w:rPr>
                <w:rFonts w:ascii="Times New Roman" w:hAnsi="Times New Roman" w:cs="Times New Roman"/>
              </w:rPr>
            </w:pPr>
            <w:r>
              <w:rPr>
                <w:rFonts w:hint="eastAsia" w:ascii="Times New Roman" w:hAnsi="Times New Roman" w:cs="Times New Roman"/>
              </w:rPr>
              <w:t>二档（2分）：</w:t>
            </w:r>
            <w:r>
              <w:rPr>
                <w:rFonts w:hint="eastAsia"/>
              </w:rPr>
              <w:t>一般性技术参数</w:t>
            </w:r>
            <w:r>
              <w:rPr>
                <w:rFonts w:ascii="Times New Roman" w:hAnsi="Times New Roman" w:cs="Times New Roman"/>
              </w:rPr>
              <w:t>满足招标文件要求</w:t>
            </w:r>
            <w:r>
              <w:rPr>
                <w:rFonts w:hint="eastAsia" w:ascii="Times New Roman" w:hAnsi="Times New Roman" w:cs="Times New Roman"/>
              </w:rPr>
              <w:t>，有</w:t>
            </w:r>
            <w:r>
              <w:rPr>
                <w:rFonts w:ascii="Times New Roman" w:hAnsi="Times New Roman" w:cs="Times New Roman"/>
              </w:rPr>
              <w:t>2项</w:t>
            </w:r>
            <w:r>
              <w:rPr>
                <w:rFonts w:hint="eastAsia" w:ascii="Times New Roman" w:hAnsi="Times New Roman" w:cs="Times New Roman"/>
              </w:rPr>
              <w:t>不带</w:t>
            </w:r>
            <w:r>
              <w:rPr>
                <w:rFonts w:hint="eastAsia" w:ascii="Times New Roman" w:hAnsi="Times New Roman"/>
              </w:rPr>
              <w:t>“</w:t>
            </w:r>
            <w:r>
              <w:rPr>
                <w:rFonts w:hint="eastAsia" w:hAnsi="宋体" w:eastAsia="黑体" w:cs="宋体"/>
                <w:b/>
                <w:sz w:val="24"/>
              </w:rPr>
              <w:t>＃</w:t>
            </w:r>
            <w:r>
              <w:rPr>
                <w:rFonts w:hint="eastAsia" w:ascii="Times New Roman" w:hAnsi="Times New Roman"/>
              </w:rPr>
              <w:t>”及不带“</w:t>
            </w:r>
            <w:r>
              <w:rPr>
                <w:rFonts w:hint="eastAsia" w:ascii="仿宋" w:hAnsi="仿宋" w:eastAsia="仿宋" w:cs="仿宋"/>
              </w:rPr>
              <w:t>▲</w:t>
            </w:r>
            <w:r>
              <w:rPr>
                <w:rFonts w:hint="eastAsia" w:ascii="Times New Roman" w:hAnsi="Times New Roman"/>
              </w:rPr>
              <w:t>”号</w:t>
            </w:r>
            <w:r>
              <w:rPr>
                <w:rFonts w:ascii="Times New Roman" w:hAnsi="Times New Roman"/>
              </w:rPr>
              <w:t>技术</w:t>
            </w:r>
            <w:r>
              <w:rPr>
                <w:rFonts w:hint="eastAsia" w:ascii="Times New Roman" w:hAnsi="Times New Roman"/>
              </w:rPr>
              <w:t>参数</w:t>
            </w:r>
            <w:r>
              <w:rPr>
                <w:rFonts w:hint="eastAsia" w:ascii="Times New Roman" w:hAnsi="Times New Roman" w:cs="Times New Roman"/>
              </w:rPr>
              <w:t>负偏离，</w:t>
            </w:r>
            <w:r>
              <w:rPr>
                <w:rFonts w:ascii="Times New Roman" w:hAnsi="Times New Roman" w:cs="Times New Roman"/>
              </w:rPr>
              <w:t>得2分。</w:t>
            </w:r>
          </w:p>
          <w:p>
            <w:pPr>
              <w:pStyle w:val="28"/>
              <w:spacing w:line="300" w:lineRule="auto"/>
              <w:jc w:val="left"/>
              <w:rPr>
                <w:rFonts w:ascii="Times New Roman" w:hAnsi="Times New Roman" w:cs="Times New Roman"/>
              </w:rPr>
            </w:pPr>
            <w:r>
              <w:rPr>
                <w:rFonts w:hint="eastAsia" w:ascii="Times New Roman" w:hAnsi="Times New Roman" w:cs="Times New Roman"/>
              </w:rPr>
              <w:t>三档（4分）：</w:t>
            </w:r>
            <w:r>
              <w:rPr>
                <w:rFonts w:hint="eastAsia"/>
              </w:rPr>
              <w:t>一般性技术参数</w:t>
            </w:r>
            <w:r>
              <w:rPr>
                <w:rFonts w:ascii="Times New Roman" w:hAnsi="Times New Roman" w:cs="Times New Roman"/>
              </w:rPr>
              <w:t>满足招标文件要求</w:t>
            </w:r>
            <w:r>
              <w:rPr>
                <w:rFonts w:hint="eastAsia" w:ascii="Times New Roman" w:hAnsi="Times New Roman" w:cs="Times New Roman"/>
              </w:rPr>
              <w:t>，有</w:t>
            </w:r>
            <w:r>
              <w:rPr>
                <w:rFonts w:ascii="Times New Roman" w:hAnsi="Times New Roman" w:cs="Times New Roman"/>
              </w:rPr>
              <w:t>1项</w:t>
            </w:r>
            <w:r>
              <w:rPr>
                <w:rFonts w:hint="eastAsia" w:ascii="Times New Roman" w:hAnsi="Times New Roman" w:cs="Times New Roman"/>
              </w:rPr>
              <w:t>不带</w:t>
            </w:r>
            <w:r>
              <w:rPr>
                <w:rFonts w:hint="eastAsia" w:ascii="Times New Roman" w:hAnsi="Times New Roman"/>
              </w:rPr>
              <w:t>“</w:t>
            </w:r>
            <w:r>
              <w:rPr>
                <w:rFonts w:hint="eastAsia" w:hAnsi="宋体" w:eastAsia="黑体" w:cs="宋体"/>
                <w:b/>
                <w:sz w:val="24"/>
              </w:rPr>
              <w:t>＃</w:t>
            </w:r>
            <w:r>
              <w:rPr>
                <w:rFonts w:hint="eastAsia" w:ascii="Times New Roman" w:hAnsi="Times New Roman"/>
              </w:rPr>
              <w:t>”及不带“</w:t>
            </w:r>
            <w:r>
              <w:rPr>
                <w:rFonts w:hint="eastAsia" w:ascii="仿宋" w:hAnsi="仿宋" w:eastAsia="仿宋" w:cs="仿宋"/>
              </w:rPr>
              <w:t>▲</w:t>
            </w:r>
            <w:r>
              <w:rPr>
                <w:rFonts w:hint="eastAsia" w:ascii="Times New Roman" w:hAnsi="Times New Roman"/>
              </w:rPr>
              <w:t>”号</w:t>
            </w:r>
            <w:r>
              <w:rPr>
                <w:rFonts w:ascii="Times New Roman" w:hAnsi="Times New Roman"/>
              </w:rPr>
              <w:t>技术</w:t>
            </w:r>
            <w:r>
              <w:rPr>
                <w:rFonts w:hint="eastAsia" w:ascii="Times New Roman" w:hAnsi="Times New Roman"/>
              </w:rPr>
              <w:t>参数</w:t>
            </w:r>
            <w:r>
              <w:rPr>
                <w:rFonts w:hint="eastAsia" w:ascii="Times New Roman" w:hAnsi="Times New Roman" w:cs="Times New Roman"/>
              </w:rPr>
              <w:t>负偏离，</w:t>
            </w:r>
            <w:r>
              <w:rPr>
                <w:rFonts w:ascii="Times New Roman" w:hAnsi="Times New Roman" w:cs="Times New Roman"/>
              </w:rPr>
              <w:t>得4分。</w:t>
            </w:r>
          </w:p>
          <w:p>
            <w:pPr>
              <w:pStyle w:val="28"/>
              <w:spacing w:line="300" w:lineRule="auto"/>
              <w:jc w:val="left"/>
              <w:rPr>
                <w:rFonts w:hint="eastAsia" w:ascii="Times New Roman" w:hAnsi="Times New Roman" w:cs="Times New Roman"/>
              </w:rPr>
            </w:pPr>
            <w:r>
              <w:rPr>
                <w:rFonts w:hint="eastAsia" w:ascii="Times New Roman" w:hAnsi="Times New Roman" w:cs="Times New Roman"/>
              </w:rPr>
              <w:t>四档（6分）：</w:t>
            </w:r>
            <w:r>
              <w:rPr>
                <w:rFonts w:ascii="Times New Roman" w:hAnsi="Times New Roman" w:cs="Times New Roman"/>
              </w:rPr>
              <w:t>满足招标文件</w:t>
            </w:r>
            <w:r>
              <w:rPr>
                <w:rFonts w:hint="eastAsia" w:ascii="Times New Roman" w:hAnsi="Times New Roman" w:cs="Times New Roman"/>
              </w:rPr>
              <w:t>，不带</w:t>
            </w:r>
            <w:r>
              <w:rPr>
                <w:rFonts w:hint="eastAsia" w:ascii="Times New Roman" w:hAnsi="Times New Roman"/>
              </w:rPr>
              <w:t>“</w:t>
            </w:r>
            <w:r>
              <w:rPr>
                <w:rFonts w:hint="eastAsia" w:hAnsi="宋体" w:eastAsia="黑体" w:cs="宋体"/>
                <w:b/>
                <w:sz w:val="24"/>
              </w:rPr>
              <w:t>＃</w:t>
            </w:r>
            <w:r>
              <w:rPr>
                <w:rFonts w:hint="eastAsia" w:ascii="Times New Roman" w:hAnsi="Times New Roman"/>
              </w:rPr>
              <w:t>”及不带“</w:t>
            </w:r>
            <w:r>
              <w:rPr>
                <w:rFonts w:hint="eastAsia" w:ascii="仿宋" w:hAnsi="仿宋" w:eastAsia="仿宋" w:cs="仿宋"/>
              </w:rPr>
              <w:t>▲</w:t>
            </w:r>
            <w:r>
              <w:rPr>
                <w:rFonts w:hint="eastAsia" w:ascii="Times New Roman" w:hAnsi="Times New Roman"/>
              </w:rPr>
              <w:t>”号</w:t>
            </w:r>
            <w:r>
              <w:rPr>
                <w:rFonts w:ascii="Times New Roman" w:hAnsi="Times New Roman" w:cs="Times New Roman"/>
              </w:rPr>
              <w:t>要求</w:t>
            </w:r>
            <w:r>
              <w:rPr>
                <w:rFonts w:hint="eastAsia" w:ascii="Times New Roman" w:hAnsi="Times New Roman" w:cs="Times New Roman"/>
              </w:rPr>
              <w:t>无负偏离，</w:t>
            </w:r>
            <w:r>
              <w:rPr>
                <w:rFonts w:ascii="Times New Roman" w:hAnsi="Times New Roman" w:cs="Times New Roman"/>
              </w:rPr>
              <w:t>得6分</w:t>
            </w:r>
            <w:r>
              <w:rPr>
                <w:rFonts w:hint="eastAsia" w:ascii="Times New Roman" w:hAnsi="Times New Roman" w:cs="Times New Roman"/>
              </w:rPr>
              <w:t>。</w:t>
            </w:r>
          </w:p>
          <w:p>
            <w:pPr>
              <w:pStyle w:val="28"/>
              <w:numPr>
                <w:ilvl w:val="0"/>
                <w:numId w:val="4"/>
              </w:numPr>
              <w:spacing w:line="300" w:lineRule="auto"/>
              <w:rPr>
                <w:rFonts w:ascii="Times New Roman" w:hAnsi="Times New Roman" w:cs="Times New Roman"/>
              </w:rPr>
            </w:pPr>
            <w:r>
              <w:t>重要技术参数</w:t>
            </w:r>
            <w:r>
              <w:rPr>
                <w:rFonts w:ascii="Times New Roman" w:hAnsi="Times New Roman" w:cs="Times New Roman"/>
              </w:rPr>
              <w:t>分（满分2</w:t>
            </w:r>
            <w:r>
              <w:rPr>
                <w:rFonts w:hint="eastAsia" w:ascii="Times New Roman" w:hAnsi="Times New Roman" w:cs="Times New Roman"/>
              </w:rPr>
              <w:t>0</w:t>
            </w:r>
            <w:r>
              <w:rPr>
                <w:rFonts w:ascii="Times New Roman" w:hAnsi="Times New Roman" w:cs="Times New Roman"/>
              </w:rPr>
              <w:t>分）</w:t>
            </w:r>
          </w:p>
          <w:p>
            <w:pPr>
              <w:pStyle w:val="28"/>
              <w:spacing w:line="300" w:lineRule="auto"/>
              <w:jc w:val="left"/>
              <w:rPr>
                <w:rFonts w:ascii="Times New Roman" w:hAnsi="Times New Roman" w:cs="Times New Roman"/>
              </w:rPr>
            </w:pPr>
            <w:r>
              <w:rPr>
                <w:rFonts w:hint="eastAsia" w:ascii="Times New Roman" w:hAnsi="Times New Roman" w:cs="Times New Roman"/>
              </w:rPr>
              <w:t>一档（0分）</w:t>
            </w:r>
            <w:r>
              <w:t>重要技术参数</w:t>
            </w:r>
            <w:r>
              <w:rPr>
                <w:rFonts w:ascii="Times New Roman" w:hAnsi="Times New Roman" w:cs="Times New Roman"/>
              </w:rPr>
              <w:t>满足招标文件要求</w:t>
            </w:r>
            <w:r>
              <w:rPr>
                <w:rFonts w:hint="eastAsia" w:ascii="Times New Roman" w:hAnsi="Times New Roman" w:cs="Times New Roman"/>
              </w:rPr>
              <w:t>，有4项或以上带</w:t>
            </w:r>
            <w:r>
              <w:rPr>
                <w:rFonts w:ascii="Times New Roman" w:hAnsi="Times New Roman"/>
              </w:rPr>
              <w:t>“</w:t>
            </w:r>
            <w:r>
              <w:rPr>
                <w:rFonts w:hint="eastAsia" w:hAnsi="宋体" w:eastAsia="黑体" w:cs="宋体"/>
                <w:b/>
                <w:sz w:val="24"/>
              </w:rPr>
              <w:t>＃</w:t>
            </w:r>
            <w:r>
              <w:rPr>
                <w:rFonts w:ascii="Times New Roman" w:hAnsi="Times New Roman"/>
              </w:rPr>
              <w:t>”</w:t>
            </w:r>
            <w:r>
              <w:rPr>
                <w:rFonts w:hint="eastAsia" w:ascii="Times New Roman" w:hAnsi="Times New Roman"/>
              </w:rPr>
              <w:t>号</w:t>
            </w:r>
            <w:r>
              <w:rPr>
                <w:rFonts w:ascii="Times New Roman" w:hAnsi="Times New Roman"/>
              </w:rPr>
              <w:t>技术</w:t>
            </w:r>
            <w:r>
              <w:rPr>
                <w:rFonts w:hint="eastAsia" w:ascii="Times New Roman" w:hAnsi="Times New Roman"/>
              </w:rPr>
              <w:t>参数要求</w:t>
            </w:r>
            <w:r>
              <w:rPr>
                <w:rFonts w:hint="eastAsia" w:ascii="Times New Roman" w:hAnsi="Times New Roman" w:cs="Times New Roman"/>
              </w:rPr>
              <w:t>负偏离，不得分</w:t>
            </w:r>
            <w:r>
              <w:rPr>
                <w:rFonts w:ascii="Times New Roman" w:hAnsi="Times New Roman" w:cs="Times New Roman"/>
              </w:rPr>
              <w:t>。</w:t>
            </w:r>
          </w:p>
          <w:p>
            <w:pPr>
              <w:pStyle w:val="28"/>
              <w:spacing w:line="300" w:lineRule="auto"/>
              <w:jc w:val="left"/>
              <w:rPr>
                <w:rFonts w:ascii="Times New Roman" w:hAnsi="Times New Roman" w:cs="Times New Roman"/>
              </w:rPr>
            </w:pPr>
            <w:r>
              <w:rPr>
                <w:rFonts w:hint="eastAsia" w:ascii="Times New Roman" w:hAnsi="Times New Roman" w:cs="Times New Roman"/>
              </w:rPr>
              <w:t>二档（5分）</w:t>
            </w:r>
            <w:r>
              <w:t>重要技术参数</w:t>
            </w:r>
            <w:r>
              <w:rPr>
                <w:rFonts w:ascii="Times New Roman" w:hAnsi="Times New Roman" w:cs="Times New Roman"/>
              </w:rPr>
              <w:t>满足招标文件要求</w:t>
            </w:r>
            <w:r>
              <w:rPr>
                <w:rFonts w:hint="eastAsia" w:ascii="Times New Roman" w:hAnsi="Times New Roman" w:cs="Times New Roman"/>
              </w:rPr>
              <w:t>，有3</w:t>
            </w:r>
            <w:r>
              <w:rPr>
                <w:rFonts w:ascii="Times New Roman" w:hAnsi="Times New Roman" w:cs="Times New Roman"/>
              </w:rPr>
              <w:t>项</w:t>
            </w:r>
            <w:r>
              <w:rPr>
                <w:rFonts w:hint="eastAsia" w:ascii="Times New Roman" w:hAnsi="Times New Roman" w:cs="Times New Roman"/>
              </w:rPr>
              <w:t>带</w:t>
            </w:r>
            <w:r>
              <w:rPr>
                <w:rFonts w:ascii="Times New Roman" w:hAnsi="Times New Roman"/>
              </w:rPr>
              <w:t xml:space="preserve"> “</w:t>
            </w:r>
            <w:r>
              <w:rPr>
                <w:rFonts w:hint="eastAsia" w:hAnsi="宋体" w:eastAsia="黑体" w:cs="宋体"/>
                <w:b/>
                <w:sz w:val="24"/>
              </w:rPr>
              <w:t>＃</w:t>
            </w:r>
            <w:r>
              <w:rPr>
                <w:rFonts w:ascii="Times New Roman" w:hAnsi="Times New Roman"/>
              </w:rPr>
              <w:t>”</w:t>
            </w:r>
            <w:r>
              <w:rPr>
                <w:rFonts w:hint="eastAsia" w:ascii="Times New Roman" w:hAnsi="Times New Roman"/>
              </w:rPr>
              <w:t>号</w:t>
            </w:r>
            <w:r>
              <w:rPr>
                <w:rFonts w:ascii="Times New Roman" w:hAnsi="Times New Roman"/>
              </w:rPr>
              <w:t>技术</w:t>
            </w:r>
            <w:r>
              <w:rPr>
                <w:rFonts w:hint="eastAsia" w:ascii="Times New Roman" w:hAnsi="Times New Roman"/>
              </w:rPr>
              <w:t>参数要求</w:t>
            </w:r>
            <w:r>
              <w:rPr>
                <w:rFonts w:hint="eastAsia" w:ascii="Times New Roman" w:hAnsi="Times New Roman" w:cs="Times New Roman"/>
              </w:rPr>
              <w:t>负偏离，得5分</w:t>
            </w:r>
            <w:r>
              <w:rPr>
                <w:rFonts w:ascii="Times New Roman" w:hAnsi="Times New Roman" w:cs="Times New Roman"/>
              </w:rPr>
              <w:t>。</w:t>
            </w:r>
          </w:p>
          <w:p>
            <w:pPr>
              <w:pStyle w:val="28"/>
              <w:spacing w:line="300" w:lineRule="auto"/>
              <w:jc w:val="left"/>
              <w:rPr>
                <w:rFonts w:ascii="Times New Roman" w:hAnsi="Times New Roman" w:cs="Times New Roman"/>
              </w:rPr>
            </w:pPr>
            <w:r>
              <w:rPr>
                <w:rFonts w:hint="eastAsia" w:ascii="Times New Roman" w:hAnsi="Times New Roman" w:cs="Times New Roman"/>
              </w:rPr>
              <w:t>三档（10分）：</w:t>
            </w:r>
            <w:r>
              <w:t>重要技术参数</w:t>
            </w:r>
            <w:r>
              <w:rPr>
                <w:rFonts w:ascii="Times New Roman" w:hAnsi="Times New Roman" w:cs="Times New Roman"/>
              </w:rPr>
              <w:t>满足招标文件</w:t>
            </w:r>
            <w:r>
              <w:rPr>
                <w:rFonts w:hint="eastAsia" w:ascii="Times New Roman" w:hAnsi="Times New Roman" w:cs="Times New Roman"/>
              </w:rPr>
              <w:t>要求，有2</w:t>
            </w:r>
            <w:r>
              <w:rPr>
                <w:rFonts w:ascii="Times New Roman" w:hAnsi="Times New Roman" w:cs="Times New Roman"/>
              </w:rPr>
              <w:t>项</w:t>
            </w:r>
            <w:r>
              <w:rPr>
                <w:rFonts w:hint="eastAsia" w:ascii="Times New Roman" w:hAnsi="Times New Roman" w:cs="Times New Roman"/>
              </w:rPr>
              <w:t>带</w:t>
            </w:r>
            <w:r>
              <w:rPr>
                <w:rFonts w:ascii="Times New Roman" w:hAnsi="Times New Roman"/>
              </w:rPr>
              <w:t xml:space="preserve"> “</w:t>
            </w:r>
            <w:r>
              <w:rPr>
                <w:rFonts w:hint="eastAsia" w:hAnsi="宋体" w:eastAsia="黑体" w:cs="宋体"/>
                <w:b/>
                <w:sz w:val="24"/>
              </w:rPr>
              <w:t>＃</w:t>
            </w:r>
            <w:r>
              <w:rPr>
                <w:rFonts w:ascii="Times New Roman" w:hAnsi="Times New Roman"/>
              </w:rPr>
              <w:t>”</w:t>
            </w:r>
            <w:r>
              <w:rPr>
                <w:rFonts w:hint="eastAsia" w:ascii="Times New Roman" w:hAnsi="Times New Roman"/>
              </w:rPr>
              <w:t>号</w:t>
            </w:r>
            <w:r>
              <w:rPr>
                <w:rFonts w:ascii="Times New Roman" w:hAnsi="Times New Roman"/>
              </w:rPr>
              <w:t>技术</w:t>
            </w:r>
            <w:r>
              <w:rPr>
                <w:rFonts w:hint="eastAsia" w:ascii="Times New Roman" w:hAnsi="Times New Roman"/>
              </w:rPr>
              <w:t>参数要求</w:t>
            </w:r>
            <w:r>
              <w:rPr>
                <w:rFonts w:hint="eastAsia" w:ascii="Times New Roman" w:hAnsi="Times New Roman" w:cs="Times New Roman"/>
              </w:rPr>
              <w:t>负偏离，得10分</w:t>
            </w:r>
            <w:r>
              <w:rPr>
                <w:rFonts w:ascii="Times New Roman" w:hAnsi="Times New Roman" w:cs="Times New Roman"/>
              </w:rPr>
              <w:t>。</w:t>
            </w:r>
          </w:p>
          <w:p>
            <w:pPr>
              <w:pStyle w:val="28"/>
              <w:spacing w:line="300" w:lineRule="auto"/>
              <w:jc w:val="left"/>
              <w:rPr>
                <w:rFonts w:ascii="Times New Roman" w:hAnsi="Times New Roman" w:cs="Times New Roman"/>
              </w:rPr>
            </w:pPr>
            <w:r>
              <w:rPr>
                <w:rFonts w:hint="eastAsia" w:ascii="Times New Roman" w:hAnsi="Times New Roman" w:cs="Times New Roman"/>
              </w:rPr>
              <w:t>四档（15分）</w:t>
            </w:r>
            <w:r>
              <w:t>重要技术参数</w:t>
            </w:r>
            <w:r>
              <w:rPr>
                <w:rFonts w:ascii="Times New Roman" w:hAnsi="Times New Roman" w:cs="Times New Roman"/>
              </w:rPr>
              <w:t>满足招标文件要求</w:t>
            </w:r>
            <w:r>
              <w:rPr>
                <w:rFonts w:hint="eastAsia" w:ascii="Times New Roman" w:hAnsi="Times New Roman" w:cs="Times New Roman"/>
              </w:rPr>
              <w:t>，有1项或以上带</w:t>
            </w:r>
            <w:r>
              <w:rPr>
                <w:rFonts w:ascii="Times New Roman" w:hAnsi="Times New Roman"/>
              </w:rPr>
              <w:t>“</w:t>
            </w:r>
            <w:r>
              <w:rPr>
                <w:rFonts w:hint="eastAsia" w:hAnsi="宋体" w:eastAsia="黑体" w:cs="宋体"/>
                <w:b/>
                <w:sz w:val="24"/>
              </w:rPr>
              <w:t>＃</w:t>
            </w:r>
            <w:r>
              <w:rPr>
                <w:rFonts w:ascii="Times New Roman" w:hAnsi="Times New Roman"/>
              </w:rPr>
              <w:t>”</w:t>
            </w:r>
            <w:r>
              <w:rPr>
                <w:rFonts w:hint="eastAsia" w:ascii="Times New Roman" w:hAnsi="Times New Roman"/>
              </w:rPr>
              <w:t>号</w:t>
            </w:r>
            <w:r>
              <w:rPr>
                <w:rFonts w:ascii="Times New Roman" w:hAnsi="Times New Roman"/>
              </w:rPr>
              <w:t>技术</w:t>
            </w:r>
            <w:r>
              <w:rPr>
                <w:rFonts w:hint="eastAsia" w:ascii="Times New Roman" w:hAnsi="Times New Roman"/>
              </w:rPr>
              <w:t>参数要求</w:t>
            </w:r>
            <w:r>
              <w:rPr>
                <w:rFonts w:hint="eastAsia" w:ascii="Times New Roman" w:hAnsi="Times New Roman" w:cs="Times New Roman"/>
              </w:rPr>
              <w:t>负偏离，得15分</w:t>
            </w:r>
            <w:r>
              <w:rPr>
                <w:rFonts w:ascii="Times New Roman" w:hAnsi="Times New Roman" w:cs="Times New Roman"/>
              </w:rPr>
              <w:t>。</w:t>
            </w:r>
          </w:p>
          <w:p>
            <w:pPr>
              <w:pStyle w:val="28"/>
              <w:spacing w:line="300" w:lineRule="auto"/>
              <w:jc w:val="left"/>
              <w:rPr>
                <w:rFonts w:hint="eastAsia" w:ascii="Times New Roman" w:hAnsi="Times New Roman" w:cs="Times New Roman"/>
              </w:rPr>
            </w:pPr>
            <w:r>
              <w:rPr>
                <w:rFonts w:hint="eastAsia" w:ascii="Times New Roman" w:hAnsi="Times New Roman" w:cs="Times New Roman"/>
              </w:rPr>
              <w:t>五档（20分）</w:t>
            </w:r>
            <w:r>
              <w:t>重要技术参数</w:t>
            </w:r>
            <w:r>
              <w:rPr>
                <w:rFonts w:ascii="Times New Roman" w:hAnsi="Times New Roman" w:cs="Times New Roman"/>
              </w:rPr>
              <w:t>满足招标文件要求</w:t>
            </w:r>
            <w:r>
              <w:rPr>
                <w:rFonts w:hint="eastAsia" w:ascii="Times New Roman" w:hAnsi="Times New Roman" w:cs="Times New Roman"/>
              </w:rPr>
              <w:t>，带</w:t>
            </w:r>
            <w:r>
              <w:rPr>
                <w:rFonts w:ascii="Times New Roman" w:hAnsi="Times New Roman"/>
              </w:rPr>
              <w:t xml:space="preserve"> “</w:t>
            </w:r>
            <w:r>
              <w:rPr>
                <w:rFonts w:hint="eastAsia" w:hAnsi="宋体" w:eastAsia="黑体" w:cs="宋体"/>
                <w:b/>
                <w:sz w:val="24"/>
              </w:rPr>
              <w:t>＃</w:t>
            </w:r>
            <w:r>
              <w:rPr>
                <w:rFonts w:ascii="Times New Roman" w:hAnsi="Times New Roman"/>
              </w:rPr>
              <w:t>”</w:t>
            </w:r>
            <w:r>
              <w:rPr>
                <w:rFonts w:hint="eastAsia" w:ascii="Times New Roman" w:hAnsi="Times New Roman"/>
              </w:rPr>
              <w:t>号</w:t>
            </w:r>
            <w:r>
              <w:rPr>
                <w:rFonts w:ascii="Times New Roman" w:hAnsi="Times New Roman"/>
              </w:rPr>
              <w:t>技术</w:t>
            </w:r>
            <w:r>
              <w:rPr>
                <w:rFonts w:hint="eastAsia" w:ascii="Times New Roman" w:hAnsi="Times New Roman"/>
              </w:rPr>
              <w:t>参数要求无</w:t>
            </w:r>
            <w:r>
              <w:rPr>
                <w:rFonts w:hint="eastAsia" w:ascii="Times New Roman" w:hAnsi="Times New Roman" w:cs="Times New Roman"/>
              </w:rPr>
              <w:t>负偏离，得20分</w:t>
            </w:r>
            <w:r>
              <w:rPr>
                <w:rFonts w:ascii="Times New Roman" w:hAnsi="Times New Roman" w:cs="Times New Roman"/>
              </w:rPr>
              <w:t>。</w:t>
            </w:r>
          </w:p>
          <w:p>
            <w:pPr>
              <w:pStyle w:val="28"/>
              <w:spacing w:line="300" w:lineRule="auto"/>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技术参数</w:t>
            </w:r>
            <w:r>
              <w:rPr>
                <w:rFonts w:ascii="Times New Roman" w:hAnsi="Times New Roman" w:cs="Times New Roman"/>
              </w:rPr>
              <w:t>正偏离</w:t>
            </w:r>
            <w:r>
              <w:rPr>
                <w:rFonts w:hint="eastAsia" w:ascii="Times New Roman" w:hAnsi="Times New Roman" w:cs="Times New Roman"/>
              </w:rPr>
              <w:t>得</w:t>
            </w:r>
            <w:r>
              <w:rPr>
                <w:rFonts w:ascii="Times New Roman" w:hAnsi="Times New Roman" w:cs="Times New Roman"/>
              </w:rPr>
              <w:t>分（</w:t>
            </w:r>
            <w:r>
              <w:rPr>
                <w:rFonts w:hint="eastAsia" w:ascii="Times New Roman" w:hAnsi="Times New Roman" w:cs="Times New Roman"/>
              </w:rPr>
              <w:t>4</w:t>
            </w:r>
            <w:r>
              <w:rPr>
                <w:rFonts w:ascii="Times New Roman" w:hAnsi="Times New Roman" w:cs="Times New Roman"/>
              </w:rPr>
              <w:t>分）</w:t>
            </w:r>
          </w:p>
          <w:p>
            <w:pPr>
              <w:pStyle w:val="28"/>
              <w:spacing w:line="300" w:lineRule="auto"/>
              <w:ind w:firstLine="420"/>
              <w:rPr>
                <w:rFonts w:hint="eastAsia" w:ascii="Times New Roman" w:hAnsi="Times New Roman" w:cs="Times New Roman"/>
                <w:highlight w:val="green"/>
              </w:rPr>
            </w:pPr>
            <w:r>
              <w:rPr>
                <w:rFonts w:ascii="Times New Roman" w:hAnsi="Times New Roman" w:cs="Times New Roman"/>
              </w:rPr>
              <w:t>带</w:t>
            </w:r>
            <w:r>
              <w:rPr>
                <w:rFonts w:hint="eastAsia" w:ascii="Times New Roman" w:hAnsi="Times New Roman" w:cs="Times New Roman"/>
              </w:rPr>
              <w:t>“</w:t>
            </w:r>
            <w:r>
              <w:rPr>
                <w:rFonts w:hint="eastAsia" w:hAnsi="宋体" w:eastAsia="黑体" w:cs="宋体"/>
                <w:b/>
                <w:sz w:val="24"/>
              </w:rPr>
              <w:t>＃</w:t>
            </w:r>
            <w:r>
              <w:rPr>
                <w:rFonts w:hint="eastAsia" w:ascii="Times New Roman" w:hAnsi="Times New Roman" w:cs="Times New Roman"/>
              </w:rPr>
              <w:t>”</w:t>
            </w:r>
            <w:r>
              <w:rPr>
                <w:rFonts w:ascii="Times New Roman" w:hAnsi="Times New Roman" w:cs="Times New Roman"/>
              </w:rPr>
              <w:t>号技术参数有优于招标文件要求</w:t>
            </w:r>
            <w:r>
              <w:rPr>
                <w:rFonts w:hint="eastAsia" w:ascii="Times New Roman" w:hAnsi="Times New Roman" w:cs="Times New Roman"/>
              </w:rPr>
              <w:t>，按以下评分。</w:t>
            </w:r>
            <w:r>
              <w:rPr>
                <w:rFonts w:ascii="Times New Roman" w:hAnsi="Times New Roman" w:cs="Times New Roman"/>
              </w:rPr>
              <w:t>（须在投标文件中提供投标产品的彩页或功能截图或提供国家认定的认证（检测）机构出具认证证书（检测报告）或国际机构认证报告（提供复印件加盖供应商公章）或产品生产厂家出具的技术参数说明等证明材料作为</w:t>
            </w:r>
            <w:r>
              <w:rPr>
                <w:rFonts w:hint="eastAsia" w:ascii="Times New Roman" w:hAnsi="Times New Roman" w:cs="Times New Roman"/>
              </w:rPr>
              <w:t>证明材料</w:t>
            </w:r>
            <w:r>
              <w:rPr>
                <w:rFonts w:ascii="Times New Roman" w:hAnsi="Times New Roman" w:cs="Times New Roman"/>
              </w:rPr>
              <w:t>，</w:t>
            </w:r>
            <w:r>
              <w:rPr>
                <w:rFonts w:ascii="Times New Roman" w:hAnsi="Times New Roman" w:cs="Times New Roman"/>
                <w:bCs/>
              </w:rPr>
              <w:t>不接受单纯文字性的正偏离描述</w:t>
            </w:r>
            <w:r>
              <w:rPr>
                <w:rFonts w:ascii="Times New Roman" w:hAnsi="Times New Roman" w:cs="Times New Roman"/>
              </w:rPr>
              <w:t>）</w:t>
            </w:r>
            <w:r>
              <w:rPr>
                <w:rFonts w:hint="eastAsia" w:ascii="Times New Roman" w:hAnsi="Times New Roman" w:cs="Times New Roman"/>
              </w:rPr>
              <w:t>，每有一项优于招标文件要求的得2分，</w:t>
            </w:r>
            <w:r>
              <w:t>最多得</w:t>
            </w:r>
            <w:r>
              <w:rPr>
                <w:rFonts w:hint="eastAsia"/>
              </w:rPr>
              <w:t>4</w:t>
            </w:r>
            <w:r>
              <w:t>分</w:t>
            </w:r>
            <w:r>
              <w:rPr>
                <w:rFonts w:hint="eastAsia" w:ascii="Times New Roman" w:hAnsi="Times New Roman" w:cs="Times New Roman"/>
              </w:rPr>
              <w:t>。</w:t>
            </w:r>
          </w:p>
        </w:tc>
        <w:tc>
          <w:tcPr>
            <w:tcW w:w="2077" w:type="dxa"/>
            <w:tcBorders>
              <w:top w:val="single" w:color="auto" w:sz="4" w:space="0"/>
              <w:left w:val="single" w:color="auto" w:sz="4" w:space="0"/>
              <w:right w:val="single" w:color="auto" w:sz="4" w:space="0"/>
            </w:tcBorders>
            <w:noWrap w:val="0"/>
            <w:vAlign w:val="center"/>
          </w:tcPr>
          <w:p>
            <w:pPr>
              <w:spacing w:line="300" w:lineRule="auto"/>
            </w:pPr>
            <w:r>
              <w:rPr>
                <w:szCs w:val="21"/>
              </w:rPr>
              <w:t>注：供应商须对本招标文件技术要求进行点对点应答，特别对有具体参数要求的指标，供应商必须提供所投设备的具体参数值。对于招标文件中标注“#”</w:t>
            </w:r>
            <w:r>
              <w:rPr>
                <w:rFonts w:hint="eastAsia"/>
                <w:szCs w:val="21"/>
              </w:rPr>
              <w:t>及“▲”的技术要求</w:t>
            </w:r>
            <w:r>
              <w:rPr>
                <w:szCs w:val="21"/>
              </w:rPr>
              <w:t>，必须</w:t>
            </w:r>
            <w:r>
              <w:rPr>
                <w:rFonts w:hint="eastAsia"/>
                <w:szCs w:val="21"/>
              </w:rPr>
              <w:t>在投标文件中</w:t>
            </w:r>
            <w:r>
              <w:rPr>
                <w:szCs w:val="21"/>
              </w:rPr>
              <w:t>提供证明材料，证明材料为：</w:t>
            </w:r>
            <w:r>
              <w:rPr>
                <w:rFonts w:hint="eastAsia"/>
              </w:rPr>
              <w:t>提供具有国家认定或国际认证的检测机构出具的检测报告</w:t>
            </w:r>
            <w:r>
              <w:rPr>
                <w:rFonts w:hint="eastAsia"/>
                <w:szCs w:val="21"/>
              </w:rPr>
              <w:t>或产品说明书或产品彩页或制造商官网截图</w:t>
            </w:r>
            <w:r>
              <w:rPr>
                <w:szCs w:val="21"/>
              </w:rPr>
              <w:t>加盖供应商</w:t>
            </w:r>
            <w:r>
              <w:rPr>
                <w:rFonts w:hint="eastAsia"/>
                <w:szCs w:val="21"/>
              </w:rPr>
              <w:t>公</w:t>
            </w:r>
            <w:r>
              <w:rPr>
                <w:szCs w:val="21"/>
              </w:rPr>
              <w:t>章</w:t>
            </w:r>
            <w:r>
              <w:rPr>
                <w:rFonts w:hint="eastAsia"/>
                <w:szCs w:val="21"/>
              </w:rPr>
              <w:t>（提供复印件）。（标注“▲”为实质性条款，有1条不满足视为无效投标，未提供证明材料的视为无效投标。）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szCs w:val="21"/>
              </w:rPr>
            </w:pPr>
            <w:r>
              <w:rPr>
                <w:szCs w:val="21"/>
              </w:rPr>
              <w:t>4</w:t>
            </w:r>
          </w:p>
        </w:tc>
        <w:tc>
          <w:tcPr>
            <w:tcW w:w="167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szCs w:val="21"/>
              </w:rPr>
            </w:pPr>
            <w:r>
              <w:rPr>
                <w:szCs w:val="21"/>
              </w:rPr>
              <w:t>投标报价</w:t>
            </w:r>
          </w:p>
          <w:p>
            <w:pPr>
              <w:spacing w:line="300" w:lineRule="auto"/>
              <w:jc w:val="center"/>
              <w:rPr>
                <w:szCs w:val="21"/>
              </w:rPr>
            </w:pPr>
            <w:r>
              <w:rPr>
                <w:szCs w:val="21"/>
              </w:rPr>
              <w:t>（50分）</w:t>
            </w:r>
          </w:p>
        </w:tc>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szCs w:val="21"/>
              </w:rPr>
            </w:pPr>
            <w:r>
              <w:rPr>
                <w:szCs w:val="21"/>
              </w:rPr>
              <w:t>客观分</w:t>
            </w:r>
          </w:p>
        </w:tc>
        <w:tc>
          <w:tcPr>
            <w:tcW w:w="5026" w:type="dxa"/>
            <w:tcBorders>
              <w:top w:val="single" w:color="auto" w:sz="4" w:space="0"/>
              <w:left w:val="single" w:color="auto" w:sz="4" w:space="0"/>
              <w:bottom w:val="single" w:color="auto" w:sz="4" w:space="0"/>
            </w:tcBorders>
            <w:noWrap w:val="0"/>
            <w:vAlign w:val="center"/>
          </w:tcPr>
          <w:p>
            <w:pPr>
              <w:spacing w:line="300" w:lineRule="auto"/>
              <w:rPr>
                <w:szCs w:val="21"/>
              </w:rPr>
            </w:pPr>
            <w:r>
              <w:rPr>
                <w:szCs w:val="21"/>
              </w:rPr>
              <w:t>以满足招标文件要求且投标价格最低的投标报价为评标基准价，其价格分为满分。其他供应商的价格分统一按照下列公式计算：投标报价得分=（评标基准价/投标报价）×投标报价分满分分值。</w:t>
            </w:r>
          </w:p>
        </w:tc>
        <w:tc>
          <w:tcPr>
            <w:tcW w:w="2077" w:type="dxa"/>
            <w:tcBorders>
              <w:top w:val="single" w:color="auto" w:sz="4" w:space="0"/>
              <w:left w:val="single" w:color="auto" w:sz="4" w:space="0"/>
              <w:bottom w:val="single" w:color="auto" w:sz="4" w:space="0"/>
            </w:tcBorders>
            <w:noWrap w:val="0"/>
            <w:vAlign w:val="center"/>
          </w:tcPr>
          <w:p>
            <w:pPr>
              <w:spacing w:line="300" w:lineRule="auto"/>
              <w:rPr>
                <w:szCs w:val="21"/>
              </w:rPr>
            </w:pPr>
            <w:r>
              <w:rPr>
                <w:szCs w:val="21"/>
              </w:rPr>
              <w:t>投标报价计算时均为供应商的实际投标报价进行政策性扣除后的价格，最终中标金额＝投标报价。</w:t>
            </w:r>
            <w:r>
              <w:rPr>
                <w:bCs/>
                <w:szCs w:val="21"/>
              </w:rPr>
              <w:t>政策性扣除计算方法见后。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szCs w:val="21"/>
              </w:rPr>
            </w:pPr>
            <w:r>
              <w:rPr>
                <w:szCs w:val="21"/>
              </w:rPr>
              <w:t>5</w:t>
            </w:r>
          </w:p>
        </w:tc>
        <w:tc>
          <w:tcPr>
            <w:tcW w:w="167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szCs w:val="21"/>
              </w:rPr>
            </w:pPr>
            <w:r>
              <w:rPr>
                <w:szCs w:val="21"/>
              </w:rPr>
              <w:t>综合得分</w:t>
            </w:r>
          </w:p>
        </w:tc>
        <w:tc>
          <w:tcPr>
            <w:tcW w:w="8014" w:type="dxa"/>
            <w:gridSpan w:val="3"/>
            <w:tcBorders>
              <w:top w:val="single" w:color="auto" w:sz="4" w:space="0"/>
              <w:left w:val="single" w:color="auto" w:sz="4" w:space="0"/>
              <w:bottom w:val="single" w:color="auto" w:sz="4" w:space="0"/>
            </w:tcBorders>
            <w:noWrap w:val="0"/>
            <w:vAlign w:val="center"/>
          </w:tcPr>
          <w:p>
            <w:pPr>
              <w:spacing w:line="300" w:lineRule="auto"/>
              <w:rPr>
                <w:szCs w:val="21"/>
              </w:rPr>
            </w:pPr>
            <w:r>
              <w:rPr>
                <w:szCs w:val="21"/>
              </w:rPr>
              <w:t>=1+2+3+4 （各项评分分值计算保留小数点后两位，小数点后第三位“四舍五入”）</w:t>
            </w:r>
          </w:p>
        </w:tc>
      </w:tr>
    </w:tbl>
    <w:p>
      <w:pPr>
        <w:rPr>
          <w:bCs/>
          <w:kern w:val="0"/>
          <w:szCs w:val="21"/>
        </w:rPr>
      </w:pPr>
    </w:p>
    <w:bookmarkEnd w:id="19"/>
    <w:bookmarkEnd w:id="20"/>
    <w:p>
      <w:pPr>
        <w:spacing w:before="120" w:line="320" w:lineRule="atLeast"/>
        <w:outlineLvl w:val="1"/>
        <w:rPr>
          <w:bCs/>
          <w:kern w:val="0"/>
          <w:szCs w:val="21"/>
        </w:rPr>
      </w:pPr>
      <w:r>
        <w:rPr>
          <w:bCs/>
          <w:kern w:val="0"/>
          <w:szCs w:val="21"/>
        </w:rPr>
        <w:t>（</w:t>
      </w:r>
      <w:r>
        <w:rPr>
          <w:rFonts w:hint="eastAsia"/>
          <w:bCs/>
          <w:kern w:val="0"/>
          <w:szCs w:val="21"/>
        </w:rPr>
        <w:t>二</w:t>
      </w:r>
      <w:r>
        <w:rPr>
          <w:bCs/>
          <w:kern w:val="0"/>
          <w:szCs w:val="21"/>
        </w:rPr>
        <w:t>）政府采购政策应用说明</w:t>
      </w:r>
    </w:p>
    <w:p>
      <w:pPr>
        <w:spacing w:before="120" w:line="320" w:lineRule="atLeast"/>
        <w:ind w:firstLine="422" w:firstLineChars="200"/>
        <w:rPr>
          <w:b/>
          <w:bCs/>
          <w:kern w:val="0"/>
          <w:szCs w:val="21"/>
        </w:rPr>
      </w:pPr>
      <w:r>
        <w:rPr>
          <w:rFonts w:hint="eastAsia"/>
          <w:b/>
          <w:bCs/>
          <w:kern w:val="0"/>
          <w:szCs w:val="21"/>
        </w:rPr>
        <w:t>1、</w:t>
      </w:r>
      <w:r>
        <w:rPr>
          <w:b/>
          <w:bCs/>
          <w:kern w:val="0"/>
          <w:szCs w:val="21"/>
        </w:rPr>
        <w:t>政策性加分说明</w:t>
      </w:r>
    </w:p>
    <w:p>
      <w:pPr>
        <w:spacing w:before="120" w:line="320" w:lineRule="atLeast"/>
        <w:ind w:firstLine="420" w:firstLineChars="200"/>
        <w:rPr>
          <w:szCs w:val="21"/>
        </w:rPr>
      </w:pPr>
      <w:bookmarkStart w:id="38" w:name="_Hlk47714530"/>
      <w:r>
        <w:rPr>
          <w:rFonts w:hint="eastAsia"/>
          <w:bCs/>
          <w:szCs w:val="21"/>
        </w:rPr>
        <w:t>（1）</w:t>
      </w:r>
      <w:r>
        <w:rPr>
          <w:szCs w:val="21"/>
        </w:rPr>
        <w:t>节能产品、</w:t>
      </w:r>
      <w:r>
        <w:rPr>
          <w:rFonts w:hint="eastAsia"/>
          <w:szCs w:val="21"/>
        </w:rPr>
        <w:t>环境</w:t>
      </w:r>
      <w:r>
        <w:rPr>
          <w:szCs w:val="21"/>
        </w:rPr>
        <w:t>标志产品</w:t>
      </w:r>
    </w:p>
    <w:p>
      <w:pPr>
        <w:spacing w:before="120" w:line="320" w:lineRule="atLeast"/>
        <w:ind w:firstLine="420" w:firstLineChars="200"/>
        <w:rPr>
          <w:bCs/>
          <w:szCs w:val="21"/>
        </w:rPr>
      </w:pPr>
      <w:r>
        <w:rPr>
          <w:bCs/>
          <w:szCs w:val="21"/>
        </w:rPr>
        <w:t>节能、</w:t>
      </w:r>
      <w:r>
        <w:rPr>
          <w:rFonts w:hint="eastAsia"/>
          <w:bCs/>
          <w:szCs w:val="21"/>
        </w:rPr>
        <w:t>环境</w:t>
      </w:r>
      <w:r>
        <w:rPr>
          <w:bCs/>
          <w:szCs w:val="21"/>
        </w:rPr>
        <w:t>标志产品以</w:t>
      </w:r>
      <w:r>
        <w:rPr>
          <w:rFonts w:hint="eastAsia" w:ascii="宋体" w:hAnsi="宋体"/>
        </w:rPr>
        <w:t>国家财政部等部门</w:t>
      </w:r>
      <w:r>
        <w:rPr>
          <w:rFonts w:hint="eastAsia"/>
          <w:bCs/>
          <w:szCs w:val="21"/>
        </w:rPr>
        <w:t>颁布的</w:t>
      </w:r>
      <w:r>
        <w:rPr>
          <w:rFonts w:hint="eastAsia" w:ascii="宋体" w:hAnsi="宋体"/>
        </w:rPr>
        <w:t>节能产品政府采购品目清单和环境标志产品政府采购品目清单为准</w:t>
      </w:r>
      <w:r>
        <w:rPr>
          <w:bCs/>
          <w:szCs w:val="21"/>
        </w:rPr>
        <w:t>，</w:t>
      </w:r>
      <w:r>
        <w:rPr>
          <w:rFonts w:hint="eastAsia"/>
          <w:szCs w:val="21"/>
        </w:rPr>
        <w:t>采购人或采购代理机构通过中国政府采购网“节能产品查询”及“环境标志产品查询”进行</w:t>
      </w:r>
      <w:r>
        <w:rPr>
          <w:szCs w:val="21"/>
        </w:rPr>
        <w:t>。</w:t>
      </w:r>
    </w:p>
    <w:p>
      <w:pPr>
        <w:spacing w:before="120" w:line="320" w:lineRule="atLeast"/>
        <w:ind w:firstLine="420" w:firstLineChars="200"/>
        <w:rPr>
          <w:bCs/>
          <w:szCs w:val="21"/>
        </w:rPr>
      </w:pPr>
      <w:r>
        <w:rPr>
          <w:rFonts w:hint="eastAsia"/>
          <w:bCs/>
          <w:szCs w:val="21"/>
        </w:rPr>
        <w:t>（2）</w:t>
      </w:r>
      <w:r>
        <w:rPr>
          <w:bCs/>
          <w:szCs w:val="21"/>
        </w:rPr>
        <w:t>广西工业产品</w:t>
      </w:r>
    </w:p>
    <w:p>
      <w:pPr>
        <w:spacing w:before="120" w:line="320" w:lineRule="atLeast"/>
        <w:ind w:firstLine="420" w:firstLineChars="200"/>
        <w:rPr>
          <w:szCs w:val="21"/>
        </w:rPr>
      </w:pPr>
      <w:r>
        <w:rPr>
          <w:szCs w:val="21"/>
        </w:rPr>
        <w:t>广西工业产品，是指在广西境内生产的工业产品，具体以生产企业的工商营业执照注册所在地为准。使用广西工业产品80%以上，是指参加政府采购项目时供货范围中采用广西工业产品的金额占本次投标总金额的80%以上(含)；或者工程建设使用广西工业产品占工程建设所需产品总金额的80%以上(含)。供应商须提供生产企业营业执照复印件、《广西工业产品声明函》原件以及供应商认为需提供的其他证明材料。使用广西工业产品比例小于80%的及未按要求提供证明材料的不得分。</w:t>
      </w:r>
    </w:p>
    <w:p>
      <w:pPr>
        <w:spacing w:before="120" w:line="320" w:lineRule="atLeast"/>
        <w:ind w:firstLine="420" w:firstLineChars="200"/>
        <w:rPr>
          <w:szCs w:val="21"/>
        </w:rPr>
      </w:pPr>
      <w:r>
        <w:rPr>
          <w:szCs w:val="21"/>
        </w:rPr>
        <w:t>供应商在参加采购活动中应诚实守信，如实提供《广西工业产品声明函》，评标委员会在评标过程中应认真核对供应商的相应内容。发现供应商提供虚假材料、采购单位履约过程中中标人未按投标文件《广西工业产品声明函》中使用广西工业产品或者使用广西工业产品比例小于80%的，按照有关法律法规追究其相关责任。</w:t>
      </w:r>
    </w:p>
    <w:bookmarkEnd w:id="38"/>
    <w:p>
      <w:pPr>
        <w:spacing w:before="120" w:line="320" w:lineRule="atLeast"/>
        <w:ind w:firstLine="420" w:firstLineChars="200"/>
        <w:rPr>
          <w:szCs w:val="21"/>
        </w:rPr>
      </w:pPr>
      <w:bookmarkStart w:id="39" w:name="_Hlk15634960"/>
      <w:r>
        <w:rPr>
          <w:rFonts w:hint="eastAsia"/>
          <w:szCs w:val="21"/>
        </w:rPr>
        <w:t>（3）攻坚扶贫（采购标的包含农副产品采购项目的时）</w:t>
      </w:r>
    </w:p>
    <w:p>
      <w:pPr>
        <w:spacing w:before="120" w:line="320" w:lineRule="atLeast"/>
        <w:ind w:firstLine="420" w:firstLineChars="200"/>
        <w:rPr>
          <w:szCs w:val="21"/>
        </w:rPr>
      </w:pPr>
      <w:r>
        <w:rPr>
          <w:rFonts w:hint="eastAsia"/>
          <w:szCs w:val="21"/>
        </w:rPr>
        <w:t>贫困地区农副产品，是指8</w:t>
      </w:r>
      <w:r>
        <w:rPr>
          <w:szCs w:val="21"/>
        </w:rPr>
        <w:t>32</w:t>
      </w:r>
      <w:r>
        <w:rPr>
          <w:rFonts w:hint="eastAsia"/>
          <w:szCs w:val="21"/>
        </w:rPr>
        <w:t>个国家级贫困县域内注册的企业、农民专业合作社、家庭农场等出产的农副产品。供应商须提供企业注册地证明材料以及按照《农产品产地证明管理规定》出具农产品产地证明材料，未按要求提供的不得分。</w:t>
      </w:r>
      <w:bookmarkEnd w:id="39"/>
      <w:r>
        <w:rPr>
          <w:rFonts w:hint="eastAsia"/>
          <w:szCs w:val="21"/>
        </w:rPr>
        <w:t>如供应商所投农产品产地不属于贫困县或被查出列入《摘帽贫困县名单》，则按照虚假应标报有关部门处理。国务院扶贫开发领导小组办公室发布的《全国8</w:t>
      </w:r>
      <w:r>
        <w:rPr>
          <w:szCs w:val="21"/>
        </w:rPr>
        <w:t>32</w:t>
      </w:r>
      <w:r>
        <w:rPr>
          <w:rFonts w:hint="eastAsia"/>
          <w:szCs w:val="21"/>
        </w:rPr>
        <w:t>个贫困县名单》、《摘帽贫困县名单》由采购人或采购代理机构查询后提供给评标委员会作为评审依据。</w:t>
      </w:r>
    </w:p>
    <w:p>
      <w:pPr>
        <w:spacing w:before="120" w:line="320" w:lineRule="atLeast"/>
        <w:ind w:firstLine="422" w:firstLineChars="200"/>
        <w:rPr>
          <w:b/>
          <w:bCs/>
          <w:kern w:val="0"/>
          <w:szCs w:val="21"/>
        </w:rPr>
      </w:pPr>
      <w:r>
        <w:rPr>
          <w:rFonts w:hint="eastAsia"/>
          <w:b/>
          <w:bCs/>
          <w:kern w:val="0"/>
          <w:szCs w:val="21"/>
        </w:rPr>
        <w:t>2、</w:t>
      </w:r>
      <w:r>
        <w:rPr>
          <w:b/>
          <w:bCs/>
          <w:kern w:val="0"/>
          <w:szCs w:val="21"/>
        </w:rPr>
        <w:t>政策性扣除计算方法</w:t>
      </w:r>
    </w:p>
    <w:p>
      <w:pPr>
        <w:spacing w:before="120" w:line="320" w:lineRule="atLeast"/>
        <w:ind w:firstLine="420" w:firstLineChars="200"/>
        <w:rPr>
          <w:szCs w:val="21"/>
        </w:rPr>
      </w:pPr>
      <w:r>
        <w:rPr>
          <w:szCs w:val="21"/>
        </w:rPr>
        <w:t>供应商符合小型、微型企业、监狱企业或残疾人福利性单位条件的，其</w:t>
      </w:r>
      <w:r>
        <w:rPr>
          <w:rFonts w:hint="eastAsia"/>
          <w:szCs w:val="21"/>
        </w:rPr>
        <w:t>投标</w:t>
      </w:r>
      <w:r>
        <w:rPr>
          <w:szCs w:val="21"/>
        </w:rPr>
        <w:t>报价将按相应比例进行扣除，用扣除后的价格参与评审（计算价格分）。</w:t>
      </w:r>
    </w:p>
    <w:p>
      <w:pPr>
        <w:spacing w:before="120" w:line="320" w:lineRule="atLeast"/>
        <w:ind w:firstLine="420" w:firstLineChars="200"/>
        <w:rPr>
          <w:szCs w:val="21"/>
        </w:rPr>
      </w:pPr>
      <w:r>
        <w:rPr>
          <w:szCs w:val="21"/>
        </w:rPr>
        <w:t>（1）小型、微型企业</w:t>
      </w:r>
    </w:p>
    <w:p>
      <w:pPr>
        <w:spacing w:before="120" w:line="320" w:lineRule="atLeast"/>
        <w:ind w:firstLine="420" w:firstLineChars="200"/>
        <w:rPr>
          <w:szCs w:val="21"/>
        </w:rPr>
      </w:pPr>
      <w:r>
        <w:rPr>
          <w:szCs w:val="21"/>
        </w:rPr>
        <w:t>供应商为非联合体的情况下</w:t>
      </w:r>
      <w:r>
        <w:rPr>
          <w:rFonts w:hint="eastAsia"/>
          <w:szCs w:val="21"/>
        </w:rPr>
        <w:t>投标</w:t>
      </w:r>
      <w:r>
        <w:rPr>
          <w:szCs w:val="21"/>
        </w:rPr>
        <w:t>报价扣除方式：对小型、微型企业</w:t>
      </w:r>
      <w:r>
        <w:rPr>
          <w:rFonts w:hint="eastAsia"/>
          <w:szCs w:val="21"/>
        </w:rPr>
        <w:t>投标</w:t>
      </w:r>
      <w:r>
        <w:rPr>
          <w:szCs w:val="21"/>
        </w:rPr>
        <w:t>报价给予6%的扣除，以扣除后的</w:t>
      </w:r>
      <w:r>
        <w:rPr>
          <w:rFonts w:hint="eastAsia"/>
          <w:szCs w:val="21"/>
        </w:rPr>
        <w:t>投标</w:t>
      </w:r>
      <w:r>
        <w:rPr>
          <w:szCs w:val="21"/>
        </w:rPr>
        <w:t>报价参与评审（计算价格分）。</w:t>
      </w:r>
    </w:p>
    <w:p>
      <w:pPr>
        <w:spacing w:before="120" w:line="320" w:lineRule="atLeast"/>
        <w:ind w:firstLine="420" w:firstLineChars="200"/>
        <w:rPr>
          <w:szCs w:val="21"/>
        </w:rPr>
      </w:pPr>
      <w:r>
        <w:rPr>
          <w:szCs w:val="21"/>
        </w:rPr>
        <w:t>（2）监狱企业</w:t>
      </w:r>
    </w:p>
    <w:p>
      <w:pPr>
        <w:spacing w:before="120" w:line="320" w:lineRule="atLeast"/>
        <w:ind w:firstLine="420" w:firstLineChars="200"/>
        <w:rPr>
          <w:szCs w:val="21"/>
        </w:rPr>
      </w:pPr>
      <w:r>
        <w:rPr>
          <w:szCs w:val="21"/>
        </w:rPr>
        <w:t>根据财政部、司法部关于政府采购支持监狱企业发展有关问题的通知（财库[2014]68号），监狱企业视同小型、微型企业，享受小型、微型企业评审时</w:t>
      </w:r>
      <w:r>
        <w:rPr>
          <w:rFonts w:hint="eastAsia"/>
          <w:bCs/>
          <w:szCs w:val="21"/>
        </w:rPr>
        <w:t>投标</w:t>
      </w:r>
      <w:r>
        <w:rPr>
          <w:szCs w:val="21"/>
        </w:rPr>
        <w:t>价格扣除6%的政府采购政策。</w:t>
      </w:r>
    </w:p>
    <w:p>
      <w:pPr>
        <w:spacing w:before="120" w:line="320" w:lineRule="atLeast"/>
        <w:ind w:firstLine="420" w:firstLineChars="200"/>
        <w:rPr>
          <w:szCs w:val="21"/>
        </w:rPr>
      </w:pPr>
      <w:r>
        <w:rPr>
          <w:szCs w:val="21"/>
        </w:rPr>
        <w:t>（3）残疾人福利性单位</w:t>
      </w:r>
    </w:p>
    <w:p>
      <w:pPr>
        <w:spacing w:before="120" w:line="320" w:lineRule="atLeast"/>
        <w:ind w:firstLine="420" w:firstLineChars="200"/>
        <w:rPr>
          <w:szCs w:val="21"/>
        </w:rPr>
      </w:pPr>
      <w:r>
        <w:rPr>
          <w:szCs w:val="21"/>
        </w:rPr>
        <w:t>根据财政部、民政部、中国残疾人联合会三部门发布的关于促进残疾人就业政府采购政策的通知（财库〔2017〕141号），残疾人福利性单位视同小型、微型企业，享受小型、微型企业</w:t>
      </w:r>
      <w:r>
        <w:rPr>
          <w:rFonts w:hint="eastAsia"/>
          <w:szCs w:val="21"/>
        </w:rPr>
        <w:t>评标</w:t>
      </w:r>
      <w:r>
        <w:rPr>
          <w:szCs w:val="21"/>
        </w:rPr>
        <w:t>时</w:t>
      </w:r>
      <w:r>
        <w:rPr>
          <w:rFonts w:hint="eastAsia"/>
          <w:szCs w:val="21"/>
        </w:rPr>
        <w:t>投标</w:t>
      </w:r>
      <w:r>
        <w:rPr>
          <w:szCs w:val="21"/>
        </w:rPr>
        <w:t>报价扣除6%的政府采购政策。供应商既属于残疾人福利性单位又属于小型、微型企业的，其只能享受</w:t>
      </w:r>
      <w:r>
        <w:rPr>
          <w:rFonts w:hint="eastAsia"/>
          <w:szCs w:val="21"/>
        </w:rPr>
        <w:t>投标</w:t>
      </w:r>
      <w:r>
        <w:rPr>
          <w:szCs w:val="21"/>
        </w:rPr>
        <w:t>报价一次性6%的扣除，不重复享受政策。</w:t>
      </w:r>
    </w:p>
    <w:p>
      <w:pPr>
        <w:spacing w:before="120" w:line="320" w:lineRule="atLeast"/>
        <w:ind w:firstLine="420" w:firstLineChars="200"/>
        <w:rPr>
          <w:bCs/>
          <w:szCs w:val="21"/>
        </w:rPr>
      </w:pPr>
      <w:r>
        <w:rPr>
          <w:rFonts w:hint="eastAsia"/>
          <w:szCs w:val="21"/>
        </w:rPr>
        <w:t>3、</w:t>
      </w:r>
      <w:r>
        <w:rPr>
          <w:b/>
          <w:bCs/>
          <w:kern w:val="0"/>
          <w:szCs w:val="21"/>
        </w:rPr>
        <w:t>符合政府采购政策的相关条件</w:t>
      </w:r>
    </w:p>
    <w:p>
      <w:pPr>
        <w:spacing w:before="120" w:line="320" w:lineRule="atLeast"/>
        <w:ind w:firstLine="420" w:firstLineChars="200"/>
        <w:rPr>
          <w:szCs w:val="21"/>
        </w:rPr>
      </w:pPr>
      <w:r>
        <w:rPr>
          <w:szCs w:val="21"/>
        </w:rPr>
        <w:t>（1）小型、微型企业</w:t>
      </w:r>
    </w:p>
    <w:p>
      <w:pPr>
        <w:spacing w:before="120" w:line="320" w:lineRule="atLeast"/>
        <w:ind w:firstLine="420" w:firstLineChars="200"/>
        <w:rPr>
          <w:szCs w:val="21"/>
        </w:rPr>
      </w:pPr>
      <w:r>
        <w:rPr>
          <w:szCs w:val="21"/>
        </w:rPr>
        <w:t>依照《关于印发&lt;政府采购促进中小企业发展暂行办法&gt;的通知》（财库〔2011〕181号）之规定，小型、微型企业应当同时符合以下条件：</w:t>
      </w:r>
    </w:p>
    <w:p>
      <w:pPr>
        <w:spacing w:before="120" w:line="320" w:lineRule="atLeast"/>
        <w:ind w:firstLine="420" w:firstLineChars="200"/>
        <w:rPr>
          <w:szCs w:val="21"/>
        </w:rPr>
      </w:pPr>
      <w:r>
        <w:rPr>
          <w:rFonts w:hint="eastAsia" w:ascii="宋体" w:hAnsi="宋体" w:cs="宋体"/>
          <w:szCs w:val="21"/>
        </w:rPr>
        <w:t>①</w:t>
      </w:r>
      <w:r>
        <w:rPr>
          <w:szCs w:val="21"/>
        </w:rPr>
        <w:t>本企业符合中小企业划分标准（中小企业划分标准是指国务院有关部门根据企业从业人员、营业收入、资产总额等指标制定的中小企业划型标准，详见《关于印发中小企业划型标准规定的通知》（工信部联企业〔2011〕300号））。</w:t>
      </w:r>
    </w:p>
    <w:p>
      <w:pPr>
        <w:spacing w:before="120" w:line="320" w:lineRule="atLeast"/>
        <w:ind w:firstLine="420" w:firstLineChars="200"/>
        <w:rPr>
          <w:szCs w:val="21"/>
        </w:rPr>
      </w:pPr>
      <w:r>
        <w:rPr>
          <w:rFonts w:hint="eastAsia" w:ascii="宋体" w:hAnsi="宋体" w:cs="宋体"/>
          <w:szCs w:val="21"/>
        </w:rPr>
        <w:t>②</w:t>
      </w:r>
      <w:r>
        <w:rPr>
          <w:szCs w:val="21"/>
        </w:rPr>
        <w:t>提供本企业制造的货物、承担的工程或者服务，或者提供其他中小企业制造的货物，本项所称货物不包括提供或使用大型企业注册商标的货物。</w:t>
      </w:r>
    </w:p>
    <w:p>
      <w:pPr>
        <w:spacing w:before="120" w:line="320" w:lineRule="atLeast"/>
        <w:ind w:firstLine="420" w:firstLineChars="200"/>
        <w:rPr>
          <w:szCs w:val="21"/>
        </w:rPr>
      </w:pPr>
      <w:r>
        <w:rPr>
          <w:szCs w:val="21"/>
        </w:rPr>
        <w:t>注：小型、微型企业提供中型企业制造的货物的，视同为中型企业；小型、微型、中型企业提供大型企业制造的货物的，视同为大型企业，</w:t>
      </w:r>
      <w:r>
        <w:rPr>
          <w:rFonts w:hint="eastAsia"/>
          <w:szCs w:val="21"/>
        </w:rPr>
        <w:t>投标</w:t>
      </w:r>
      <w:r>
        <w:rPr>
          <w:szCs w:val="21"/>
        </w:rPr>
        <w:t>报价不予扣除。</w:t>
      </w:r>
      <w:r>
        <w:rPr>
          <w:bCs/>
          <w:szCs w:val="21"/>
        </w:rPr>
        <w:t>供应商声明为小、微型企业的，应按</w:t>
      </w:r>
      <w:r>
        <w:rPr>
          <w:rFonts w:hint="eastAsia"/>
          <w:bCs/>
          <w:szCs w:val="21"/>
        </w:rPr>
        <w:t>招标</w:t>
      </w:r>
      <w:r>
        <w:rPr>
          <w:bCs/>
          <w:szCs w:val="21"/>
        </w:rPr>
        <w:t>文件规定在</w:t>
      </w:r>
      <w:r>
        <w:rPr>
          <w:rFonts w:hint="eastAsia"/>
          <w:bCs/>
          <w:szCs w:val="21"/>
        </w:rPr>
        <w:t>投标</w:t>
      </w:r>
      <w:r>
        <w:rPr>
          <w:bCs/>
          <w:szCs w:val="21"/>
        </w:rPr>
        <w:t>文件中提供</w:t>
      </w:r>
      <w:r>
        <w:rPr>
          <w:rFonts w:hint="eastAsia"/>
          <w:bCs/>
          <w:szCs w:val="21"/>
        </w:rPr>
        <w:t>声明函</w:t>
      </w:r>
      <w:r>
        <w:rPr>
          <w:bCs/>
          <w:szCs w:val="21"/>
        </w:rPr>
        <w:t>。</w:t>
      </w:r>
    </w:p>
    <w:p>
      <w:pPr>
        <w:spacing w:before="120" w:line="320" w:lineRule="atLeast"/>
        <w:ind w:firstLine="420" w:firstLineChars="200"/>
        <w:rPr>
          <w:szCs w:val="21"/>
        </w:rPr>
      </w:pPr>
      <w:r>
        <w:rPr>
          <w:szCs w:val="21"/>
        </w:rPr>
        <w:t>（2）监狱企业</w:t>
      </w:r>
    </w:p>
    <w:p>
      <w:pPr>
        <w:spacing w:before="120" w:line="320" w:lineRule="atLeast"/>
        <w:ind w:firstLine="420" w:firstLineChars="200"/>
        <w:rPr>
          <w:szCs w:val="21"/>
        </w:rPr>
      </w:pPr>
      <w:r>
        <w:rPr>
          <w:szCs w:val="21"/>
        </w:rPr>
        <w:t>依照《财政部、司法部关于政府采购支持监狱企业发展有关问题的通知》（财库〔2014〕68号）之规定，监狱企业应当符合以下条件：</w:t>
      </w:r>
    </w:p>
    <w:p>
      <w:pPr>
        <w:spacing w:before="120" w:line="320" w:lineRule="atLeast"/>
        <w:ind w:firstLine="420" w:firstLineChars="200"/>
        <w:rPr>
          <w:szCs w:val="21"/>
        </w:rPr>
      </w:pPr>
      <w:r>
        <w:rPr>
          <w:rFonts w:hint="eastAsia" w:ascii="宋体" w:hAnsi="宋体" w:cs="宋体"/>
          <w:szCs w:val="21"/>
        </w:rPr>
        <w:t>①</w:t>
      </w:r>
      <w:r>
        <w:rPr>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before="120" w:line="320" w:lineRule="atLeast"/>
        <w:ind w:firstLine="420" w:firstLineChars="200"/>
        <w:rPr>
          <w:szCs w:val="21"/>
        </w:rPr>
      </w:pPr>
      <w:r>
        <w:rPr>
          <w:rFonts w:hint="eastAsia" w:ascii="宋体" w:hAnsi="宋体" w:cs="宋体"/>
          <w:szCs w:val="21"/>
        </w:rPr>
        <w:t>②</w:t>
      </w:r>
      <w:r>
        <w:rPr>
          <w:szCs w:val="21"/>
        </w:rPr>
        <w:t>监狱企业参加政府采购活动时，应当提供由省级以上监狱管理局、戒毒管理局（含新疆生产建设兵团）或财政部门出具的属于监狱企业的证明文件，视同小型、微型企业。</w:t>
      </w:r>
    </w:p>
    <w:p>
      <w:pPr>
        <w:spacing w:before="120" w:line="320" w:lineRule="atLeast"/>
        <w:ind w:firstLine="420" w:firstLineChars="200"/>
        <w:rPr>
          <w:szCs w:val="21"/>
        </w:rPr>
      </w:pPr>
      <w:r>
        <w:rPr>
          <w:rFonts w:hint="eastAsia"/>
          <w:szCs w:val="21"/>
        </w:rPr>
        <w:t>注：</w:t>
      </w:r>
      <w:r>
        <w:rPr>
          <w:bCs/>
          <w:szCs w:val="21"/>
        </w:rPr>
        <w:t>供应商声明为</w:t>
      </w:r>
      <w:r>
        <w:rPr>
          <w:rFonts w:hint="eastAsia"/>
          <w:bCs/>
          <w:szCs w:val="21"/>
        </w:rPr>
        <w:t>监狱</w:t>
      </w:r>
      <w:r>
        <w:rPr>
          <w:bCs/>
          <w:szCs w:val="21"/>
        </w:rPr>
        <w:t>企业的，应按</w:t>
      </w:r>
      <w:r>
        <w:rPr>
          <w:rFonts w:hint="eastAsia"/>
          <w:bCs/>
          <w:szCs w:val="21"/>
        </w:rPr>
        <w:t>招标</w:t>
      </w:r>
      <w:r>
        <w:rPr>
          <w:bCs/>
          <w:szCs w:val="21"/>
        </w:rPr>
        <w:t>文件规定在</w:t>
      </w:r>
      <w:r>
        <w:rPr>
          <w:rFonts w:hint="eastAsia"/>
          <w:bCs/>
          <w:szCs w:val="21"/>
        </w:rPr>
        <w:t>投标</w:t>
      </w:r>
      <w:r>
        <w:rPr>
          <w:bCs/>
          <w:szCs w:val="21"/>
        </w:rPr>
        <w:t>文件中提供</w:t>
      </w:r>
      <w:r>
        <w:rPr>
          <w:rFonts w:hint="eastAsia"/>
          <w:bCs/>
          <w:szCs w:val="21"/>
        </w:rPr>
        <w:t>相关</w:t>
      </w:r>
      <w:r>
        <w:rPr>
          <w:bCs/>
          <w:szCs w:val="21"/>
        </w:rPr>
        <w:t>证明文件。</w:t>
      </w:r>
    </w:p>
    <w:p>
      <w:pPr>
        <w:spacing w:before="120" w:line="320" w:lineRule="atLeast"/>
        <w:ind w:firstLine="420" w:firstLineChars="200"/>
        <w:rPr>
          <w:szCs w:val="21"/>
        </w:rPr>
      </w:pPr>
      <w:r>
        <w:rPr>
          <w:szCs w:val="21"/>
        </w:rPr>
        <w:t>（3）残疾人福利性单位</w:t>
      </w:r>
    </w:p>
    <w:p>
      <w:pPr>
        <w:spacing w:before="120" w:line="320" w:lineRule="atLeast"/>
        <w:ind w:firstLine="420" w:firstLineChars="200"/>
        <w:rPr>
          <w:szCs w:val="21"/>
        </w:rPr>
      </w:pPr>
      <w:r>
        <w:rPr>
          <w:szCs w:val="21"/>
        </w:rPr>
        <w:t>依照财政部、民政部、中国残疾人联合会三部门发布的《关于促进残疾人就业政府采购政策的通知》（财库〔2017〕141号）之规定，享受政府采购支持政策的残疾人福利性单位应当符合同时满足以下条件：</w:t>
      </w:r>
    </w:p>
    <w:p>
      <w:pPr>
        <w:spacing w:before="120" w:line="320" w:lineRule="atLeast"/>
        <w:ind w:firstLine="420" w:firstLineChars="200"/>
        <w:rPr>
          <w:szCs w:val="21"/>
        </w:rPr>
      </w:pPr>
      <w:r>
        <w:rPr>
          <w:rFonts w:hint="eastAsia" w:ascii="宋体" w:hAnsi="宋体" w:cs="宋体"/>
          <w:szCs w:val="21"/>
        </w:rPr>
        <w:t>①</w:t>
      </w:r>
      <w:r>
        <w:rPr>
          <w:szCs w:val="21"/>
        </w:rPr>
        <w:t>安置的残疾人占本单位在职职工人数的比例不低于25%（含25%），并且安置的残疾人人数不少于10人（含10人）；</w:t>
      </w:r>
    </w:p>
    <w:p>
      <w:pPr>
        <w:spacing w:before="120" w:line="320" w:lineRule="atLeast"/>
        <w:ind w:firstLine="420" w:firstLineChars="200"/>
        <w:rPr>
          <w:szCs w:val="21"/>
        </w:rPr>
      </w:pPr>
      <w:r>
        <w:rPr>
          <w:rFonts w:hint="eastAsia" w:ascii="宋体" w:hAnsi="宋体" w:cs="宋体"/>
          <w:szCs w:val="21"/>
        </w:rPr>
        <w:t>②</w:t>
      </w:r>
      <w:r>
        <w:rPr>
          <w:szCs w:val="21"/>
        </w:rPr>
        <w:t>依法与安置的每位残疾人签订了一年以上（含一年）的劳动合同或服务协议；</w:t>
      </w:r>
    </w:p>
    <w:p>
      <w:pPr>
        <w:spacing w:before="120" w:line="320" w:lineRule="atLeast"/>
        <w:ind w:firstLine="420" w:firstLineChars="200"/>
        <w:rPr>
          <w:szCs w:val="21"/>
        </w:rPr>
      </w:pPr>
      <w:r>
        <w:rPr>
          <w:rFonts w:hint="eastAsia" w:ascii="宋体" w:hAnsi="宋体" w:cs="宋体"/>
          <w:szCs w:val="21"/>
        </w:rPr>
        <w:t>③</w:t>
      </w:r>
      <w:r>
        <w:rPr>
          <w:szCs w:val="21"/>
        </w:rPr>
        <w:t>为安置的每位残疾人按月足额缴纳了基本养老保险、基本医疗保险、失业保险、工伤保险和生育保险等社会保险费；</w:t>
      </w:r>
    </w:p>
    <w:p>
      <w:pPr>
        <w:spacing w:before="120" w:line="320" w:lineRule="atLeast"/>
        <w:ind w:firstLine="420" w:firstLineChars="200"/>
        <w:rPr>
          <w:szCs w:val="21"/>
        </w:rPr>
      </w:pPr>
      <w:r>
        <w:rPr>
          <w:rFonts w:hint="eastAsia" w:ascii="宋体" w:hAnsi="宋体" w:cs="宋体"/>
          <w:szCs w:val="21"/>
        </w:rPr>
        <w:t>④</w:t>
      </w:r>
      <w:r>
        <w:rPr>
          <w:szCs w:val="21"/>
        </w:rPr>
        <w:t>通过银行等金融机构向安置的每位残疾人，按月支付了不低于单位所在区县适用的经省级人民政府批准的月最低工资标准的工资；</w:t>
      </w:r>
    </w:p>
    <w:p>
      <w:pPr>
        <w:spacing w:before="120" w:line="320" w:lineRule="atLeast"/>
        <w:ind w:firstLine="420" w:firstLineChars="200"/>
        <w:rPr>
          <w:szCs w:val="21"/>
        </w:rPr>
      </w:pPr>
      <w:r>
        <w:rPr>
          <w:rFonts w:hint="eastAsia" w:ascii="宋体" w:hAnsi="宋体" w:cs="宋体"/>
          <w:szCs w:val="21"/>
        </w:rPr>
        <w:t>⑤</w:t>
      </w:r>
      <w:r>
        <w:rPr>
          <w:szCs w:val="21"/>
        </w:rPr>
        <w:t>提供本单位制造的货物、承担的工程或者服务（以下简称产品），或者提供其他残疾人福利性单位制造的货物（不包括使用非残疾人福利性单位注册商标的货物）。</w:t>
      </w:r>
    </w:p>
    <w:p>
      <w:pPr>
        <w:spacing w:before="120" w:line="320" w:lineRule="atLeast"/>
        <w:ind w:firstLine="420" w:firstLineChars="200"/>
        <w:rPr>
          <w:szCs w:val="21"/>
        </w:rPr>
      </w:pPr>
      <w:r>
        <w:rPr>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before="120" w:line="320" w:lineRule="atLeast"/>
        <w:ind w:firstLine="420" w:firstLineChars="200"/>
        <w:rPr>
          <w:bCs/>
          <w:szCs w:val="21"/>
        </w:rPr>
      </w:pPr>
      <w:r>
        <w:rPr>
          <w:szCs w:val="21"/>
        </w:rPr>
        <w:t>注：符合条件的残疾人福利性单位在参加政府采购活动时，应当提供《残疾人福利性单位声明函》（格式见第六章），并对声明的真实性负责。</w:t>
      </w:r>
    </w:p>
    <w:bookmarkEnd w:id="24"/>
    <w:p>
      <w:pPr>
        <w:pStyle w:val="28"/>
        <w:snapToGrid w:val="0"/>
        <w:spacing w:before="120" w:after="120"/>
        <w:outlineLvl w:val="0"/>
        <w:rPr>
          <w:rFonts w:ascii="Times New Roman" w:hAnsi="Times New Roman" w:cs="Times New Roman"/>
          <w:b/>
          <w:sz w:val="32"/>
          <w:szCs w:val="32"/>
        </w:rPr>
        <w:sectPr>
          <w:headerReference r:id="rId14" w:type="default"/>
          <w:pgSz w:w="11906" w:h="16838"/>
          <w:pgMar w:top="1418" w:right="1133" w:bottom="1246" w:left="1418" w:header="851" w:footer="992" w:gutter="0"/>
          <w:cols w:space="720" w:num="1"/>
          <w:docGrid w:linePitch="312" w:charSpace="0"/>
        </w:sectPr>
      </w:pPr>
    </w:p>
    <w:p>
      <w:pPr>
        <w:pStyle w:val="28"/>
        <w:snapToGrid w:val="0"/>
        <w:spacing w:before="120" w:after="120" w:line="320" w:lineRule="exact"/>
        <w:jc w:val="center"/>
        <w:outlineLvl w:val="0"/>
        <w:rPr>
          <w:rFonts w:ascii="Times New Roman" w:hAnsi="Times New Roman" w:cs="Times New Roman"/>
          <w:sz w:val="32"/>
          <w:szCs w:val="32"/>
        </w:rPr>
      </w:pPr>
      <w:bookmarkStart w:id="40" w:name="_Toc25316"/>
      <w:r>
        <w:rPr>
          <w:rFonts w:ascii="Times New Roman" w:hAnsi="Times New Roman" w:cs="Times New Roman"/>
          <w:sz w:val="32"/>
          <w:szCs w:val="32"/>
        </w:rPr>
        <w:t>第五章  合同主要条款格式</w:t>
      </w:r>
    </w:p>
    <w:p>
      <w:pPr>
        <w:pStyle w:val="28"/>
        <w:jc w:val="center"/>
        <w:rPr>
          <w:rFonts w:hint="eastAsia" w:hAnsi="宋体"/>
          <w:b/>
          <w:sz w:val="52"/>
          <w:szCs w:val="52"/>
        </w:rPr>
      </w:pPr>
      <w:r>
        <w:rPr>
          <w:rFonts w:hint="eastAsia" w:hAnsi="宋体"/>
          <w:b/>
          <w:sz w:val="52"/>
          <w:szCs w:val="52"/>
        </w:rPr>
        <w:t>广西壮族自治区政府采购合同</w:t>
      </w:r>
    </w:p>
    <w:p>
      <w:pPr>
        <w:pStyle w:val="28"/>
        <w:rPr>
          <w:rFonts w:hint="eastAsia" w:hAnsi="宋体"/>
        </w:rPr>
      </w:pPr>
    </w:p>
    <w:p>
      <w:pPr>
        <w:pStyle w:val="28"/>
        <w:rPr>
          <w:rFonts w:hint="eastAsia" w:hAnsi="宋体"/>
        </w:rPr>
      </w:pPr>
    </w:p>
    <w:p>
      <w:pPr>
        <w:pStyle w:val="28"/>
        <w:rPr>
          <w:rFonts w:hint="eastAsia" w:hAnsi="宋体"/>
        </w:rPr>
      </w:pPr>
    </w:p>
    <w:p>
      <w:pPr>
        <w:pStyle w:val="28"/>
        <w:rPr>
          <w:rFonts w:hint="eastAsia" w:hAnsi="宋体"/>
        </w:rPr>
      </w:pPr>
    </w:p>
    <w:p>
      <w:pPr>
        <w:pStyle w:val="28"/>
        <w:ind w:firstLine="1590" w:firstLineChars="495"/>
        <w:rPr>
          <w:rFonts w:hint="eastAsia" w:hAnsi="宋体"/>
          <w:b/>
          <w:sz w:val="32"/>
          <w:szCs w:val="32"/>
          <w:u w:val="single"/>
        </w:rPr>
      </w:pPr>
      <w:r>
        <w:rPr>
          <w:rFonts w:hint="eastAsia" w:hAnsi="宋体"/>
          <w:b/>
          <w:sz w:val="32"/>
          <w:szCs w:val="32"/>
        </w:rPr>
        <w:t>合同名称：</w:t>
      </w:r>
      <w:r>
        <w:rPr>
          <w:rFonts w:hint="eastAsia" w:hAnsi="宋体"/>
          <w:b/>
          <w:sz w:val="32"/>
          <w:szCs w:val="32"/>
          <w:u w:val="single"/>
        </w:rPr>
        <w:t xml:space="preserve">                            </w:t>
      </w:r>
    </w:p>
    <w:p>
      <w:pPr>
        <w:pStyle w:val="28"/>
        <w:ind w:firstLine="1590" w:firstLineChars="495"/>
        <w:rPr>
          <w:rFonts w:hint="eastAsia" w:hAnsi="宋体"/>
          <w:b/>
          <w:sz w:val="32"/>
          <w:szCs w:val="32"/>
        </w:rPr>
      </w:pPr>
    </w:p>
    <w:p>
      <w:pPr>
        <w:pStyle w:val="28"/>
        <w:ind w:firstLine="1590" w:firstLineChars="495"/>
        <w:rPr>
          <w:rFonts w:hint="eastAsia" w:hAnsi="宋体"/>
          <w:b/>
          <w:sz w:val="32"/>
          <w:szCs w:val="32"/>
          <w:u w:val="single"/>
        </w:rPr>
      </w:pPr>
      <w:r>
        <w:rPr>
          <w:rFonts w:hint="eastAsia" w:hAnsi="宋体"/>
          <w:b/>
          <w:sz w:val="32"/>
          <w:szCs w:val="32"/>
        </w:rPr>
        <w:t>合同编号：</w:t>
      </w:r>
      <w:r>
        <w:rPr>
          <w:rFonts w:hint="eastAsia" w:hAnsi="宋体"/>
          <w:b/>
          <w:sz w:val="32"/>
          <w:szCs w:val="32"/>
          <w:u w:val="single"/>
        </w:rPr>
        <w:t xml:space="preserve">                            </w:t>
      </w:r>
    </w:p>
    <w:p>
      <w:pPr>
        <w:pStyle w:val="28"/>
        <w:jc w:val="center"/>
        <w:rPr>
          <w:rFonts w:hint="eastAsia" w:hAnsi="宋体"/>
        </w:rPr>
      </w:pPr>
    </w:p>
    <w:p>
      <w:pPr>
        <w:pStyle w:val="28"/>
        <w:jc w:val="center"/>
        <w:rPr>
          <w:rFonts w:hint="eastAsia" w:hAnsi="宋体"/>
        </w:rPr>
      </w:pPr>
    </w:p>
    <w:p>
      <w:pPr>
        <w:pStyle w:val="28"/>
        <w:jc w:val="center"/>
        <w:rPr>
          <w:rFonts w:hint="eastAsia" w:hAnsi="宋体"/>
        </w:rPr>
      </w:pPr>
    </w:p>
    <w:p>
      <w:pPr>
        <w:pStyle w:val="28"/>
        <w:spacing w:after="120" w:afterLines="50" w:line="340" w:lineRule="exact"/>
        <w:ind w:firstLine="1590" w:firstLineChars="495"/>
        <w:rPr>
          <w:rFonts w:hint="eastAsia" w:hAnsi="宋体"/>
          <w:b/>
          <w:sz w:val="32"/>
          <w:szCs w:val="32"/>
          <w:u w:val="single"/>
        </w:rPr>
      </w:pPr>
      <w:r>
        <w:rPr>
          <w:rFonts w:hint="eastAsia" w:hAnsi="宋体"/>
          <w:b/>
          <w:sz w:val="32"/>
          <w:szCs w:val="32"/>
        </w:rPr>
        <w:t>采购单位（甲方）</w:t>
      </w:r>
      <w:r>
        <w:rPr>
          <w:rFonts w:hint="eastAsia" w:hAnsi="宋体"/>
          <w:b/>
          <w:sz w:val="32"/>
          <w:szCs w:val="32"/>
          <w:u w:val="single"/>
        </w:rPr>
        <w:t xml:space="preserve">   南宁师范大学     </w:t>
      </w:r>
    </w:p>
    <w:p>
      <w:pPr>
        <w:pStyle w:val="28"/>
        <w:spacing w:line="340" w:lineRule="exact"/>
        <w:ind w:firstLine="1590" w:firstLineChars="495"/>
        <w:rPr>
          <w:rFonts w:hint="eastAsia" w:hAnsi="宋体"/>
          <w:b/>
          <w:sz w:val="32"/>
          <w:szCs w:val="32"/>
          <w:u w:val="single"/>
        </w:rPr>
      </w:pPr>
      <w:r>
        <w:rPr>
          <w:rFonts w:hint="eastAsia" w:hAnsi="宋体"/>
          <w:b/>
          <w:sz w:val="32"/>
          <w:szCs w:val="32"/>
        </w:rPr>
        <w:t>住   所：</w:t>
      </w:r>
      <w:r>
        <w:rPr>
          <w:rFonts w:hint="eastAsia" w:hAnsi="宋体"/>
          <w:b/>
          <w:sz w:val="32"/>
          <w:szCs w:val="32"/>
          <w:u w:val="single"/>
        </w:rPr>
        <w:t xml:space="preserve">    南宁市明秀东路175号   </w:t>
      </w:r>
    </w:p>
    <w:p>
      <w:pPr>
        <w:pStyle w:val="28"/>
        <w:spacing w:line="340" w:lineRule="exact"/>
        <w:ind w:firstLine="1590" w:firstLineChars="495"/>
        <w:rPr>
          <w:rFonts w:hint="eastAsia" w:hAnsi="宋体"/>
          <w:b/>
          <w:sz w:val="32"/>
          <w:szCs w:val="32"/>
        </w:rPr>
      </w:pPr>
    </w:p>
    <w:p>
      <w:pPr>
        <w:pStyle w:val="28"/>
        <w:spacing w:line="340" w:lineRule="exact"/>
        <w:ind w:firstLine="1590" w:firstLineChars="495"/>
        <w:rPr>
          <w:rFonts w:hint="eastAsia" w:hAnsi="宋体"/>
          <w:b/>
          <w:sz w:val="32"/>
          <w:szCs w:val="32"/>
        </w:rPr>
      </w:pPr>
    </w:p>
    <w:p>
      <w:pPr>
        <w:pStyle w:val="28"/>
        <w:spacing w:after="120" w:afterLines="50" w:line="340" w:lineRule="exact"/>
        <w:ind w:firstLine="1590" w:firstLineChars="495"/>
        <w:rPr>
          <w:rFonts w:hint="eastAsia" w:hAnsi="宋体"/>
          <w:b/>
          <w:sz w:val="32"/>
          <w:szCs w:val="32"/>
          <w:u w:val="single"/>
        </w:rPr>
      </w:pPr>
      <w:r>
        <w:rPr>
          <w:rFonts w:hint="eastAsia" w:hAnsi="宋体"/>
          <w:b/>
          <w:sz w:val="32"/>
          <w:szCs w:val="32"/>
        </w:rPr>
        <w:t>供 应 商（乙方）</w:t>
      </w:r>
      <w:r>
        <w:rPr>
          <w:rFonts w:hint="eastAsia" w:hAnsi="宋体"/>
          <w:b/>
          <w:sz w:val="32"/>
          <w:szCs w:val="32"/>
          <w:u w:val="single"/>
        </w:rPr>
        <w:t xml:space="preserve">                      </w:t>
      </w:r>
    </w:p>
    <w:p>
      <w:pPr>
        <w:pStyle w:val="28"/>
        <w:spacing w:line="340" w:lineRule="exact"/>
        <w:ind w:firstLine="1590" w:firstLineChars="495"/>
        <w:rPr>
          <w:rFonts w:hint="eastAsia" w:hAnsi="宋体"/>
          <w:b/>
          <w:sz w:val="32"/>
          <w:szCs w:val="32"/>
          <w:u w:val="single"/>
        </w:rPr>
      </w:pPr>
      <w:r>
        <w:rPr>
          <w:rFonts w:hint="eastAsia" w:hAnsi="宋体"/>
          <w:b/>
          <w:sz w:val="32"/>
          <w:szCs w:val="32"/>
        </w:rPr>
        <w:t>住   所：</w:t>
      </w:r>
      <w:r>
        <w:rPr>
          <w:rFonts w:hint="eastAsia" w:hAnsi="宋体"/>
          <w:b/>
          <w:sz w:val="32"/>
          <w:szCs w:val="32"/>
          <w:u w:val="single"/>
        </w:rPr>
        <w:t xml:space="preserve">                            </w:t>
      </w:r>
    </w:p>
    <w:p>
      <w:pPr>
        <w:pStyle w:val="28"/>
        <w:spacing w:line="340" w:lineRule="exact"/>
        <w:ind w:firstLine="1590" w:firstLineChars="495"/>
        <w:rPr>
          <w:rFonts w:hint="eastAsia" w:hAnsi="宋体"/>
          <w:b/>
          <w:sz w:val="32"/>
          <w:szCs w:val="32"/>
        </w:rPr>
      </w:pPr>
    </w:p>
    <w:p>
      <w:pPr>
        <w:pStyle w:val="28"/>
        <w:jc w:val="center"/>
        <w:rPr>
          <w:rFonts w:hint="eastAsia" w:hAnsi="宋体"/>
        </w:rPr>
      </w:pPr>
      <w:r>
        <w:rPr>
          <w:rFonts w:hint="eastAsia" w:hAnsi="宋体"/>
        </w:rPr>
        <w:t xml:space="preserve"> </w:t>
      </w:r>
    </w:p>
    <w:p>
      <w:pPr>
        <w:pStyle w:val="28"/>
        <w:jc w:val="center"/>
        <w:rPr>
          <w:rFonts w:hint="eastAsia" w:hAnsi="宋体"/>
        </w:rPr>
      </w:pPr>
    </w:p>
    <w:p>
      <w:pPr>
        <w:pStyle w:val="28"/>
        <w:jc w:val="center"/>
        <w:rPr>
          <w:rFonts w:hint="eastAsia" w:hAnsi="宋体"/>
        </w:rPr>
      </w:pPr>
    </w:p>
    <w:p>
      <w:pPr>
        <w:pStyle w:val="28"/>
        <w:ind w:firstLine="1590" w:firstLineChars="495"/>
        <w:rPr>
          <w:rFonts w:hint="eastAsia" w:hAnsi="宋体"/>
          <w:b/>
          <w:sz w:val="32"/>
          <w:szCs w:val="32"/>
          <w:u w:val="single"/>
        </w:rPr>
      </w:pPr>
      <w:r>
        <w:rPr>
          <w:rFonts w:hint="eastAsia" w:hAnsi="宋体"/>
          <w:b/>
          <w:sz w:val="32"/>
          <w:szCs w:val="32"/>
        </w:rPr>
        <w:t>签订合同地点：</w:t>
      </w:r>
      <w:r>
        <w:rPr>
          <w:rFonts w:hint="eastAsia" w:hAnsi="宋体"/>
          <w:b/>
          <w:sz w:val="32"/>
          <w:szCs w:val="32"/>
          <w:u w:val="single"/>
        </w:rPr>
        <w:t xml:space="preserve">        南宁市         </w:t>
      </w:r>
    </w:p>
    <w:p>
      <w:pPr>
        <w:pStyle w:val="28"/>
        <w:ind w:firstLine="1590" w:firstLineChars="495"/>
        <w:rPr>
          <w:rFonts w:hint="eastAsia" w:hAnsi="宋体"/>
          <w:b/>
          <w:sz w:val="32"/>
          <w:szCs w:val="32"/>
        </w:rPr>
      </w:pPr>
    </w:p>
    <w:p>
      <w:pPr>
        <w:pStyle w:val="28"/>
        <w:ind w:firstLine="1590" w:firstLineChars="495"/>
        <w:rPr>
          <w:rFonts w:hint="eastAsia" w:hAnsi="宋体"/>
          <w:b/>
          <w:sz w:val="32"/>
          <w:szCs w:val="32"/>
        </w:rPr>
      </w:pPr>
      <w:r>
        <w:rPr>
          <w:rFonts w:hint="eastAsia" w:hAnsi="宋体"/>
          <w:b/>
          <w:sz w:val="32"/>
          <w:szCs w:val="32"/>
        </w:rPr>
        <w:t>签订合同时间：</w:t>
      </w:r>
      <w:r>
        <w:rPr>
          <w:rFonts w:hint="eastAsia" w:hAnsi="宋体"/>
          <w:b/>
          <w:sz w:val="32"/>
          <w:szCs w:val="32"/>
          <w:u w:val="single"/>
        </w:rPr>
        <w:t xml:space="preserve">                       </w:t>
      </w:r>
    </w:p>
    <w:p>
      <w:pPr>
        <w:pStyle w:val="28"/>
        <w:jc w:val="center"/>
        <w:rPr>
          <w:rFonts w:hint="eastAsia" w:hAnsi="宋体"/>
        </w:rPr>
      </w:pPr>
    </w:p>
    <w:p>
      <w:pPr>
        <w:pStyle w:val="28"/>
        <w:jc w:val="center"/>
        <w:rPr>
          <w:rFonts w:hint="eastAsia" w:hAnsi="宋体"/>
        </w:rPr>
      </w:pPr>
    </w:p>
    <w:p>
      <w:pPr>
        <w:pStyle w:val="28"/>
        <w:jc w:val="center"/>
        <w:rPr>
          <w:rFonts w:hint="eastAsia" w:hAnsi="宋体"/>
        </w:rPr>
      </w:pPr>
    </w:p>
    <w:p>
      <w:pPr>
        <w:pStyle w:val="28"/>
        <w:jc w:val="center"/>
        <w:rPr>
          <w:rFonts w:hint="eastAsia" w:hAnsi="宋体"/>
        </w:rPr>
      </w:pPr>
    </w:p>
    <w:p>
      <w:pPr>
        <w:pStyle w:val="28"/>
        <w:jc w:val="center"/>
        <w:rPr>
          <w:rFonts w:hint="eastAsia" w:hAnsi="宋体"/>
        </w:rPr>
      </w:pPr>
    </w:p>
    <w:p>
      <w:pPr>
        <w:pStyle w:val="28"/>
        <w:jc w:val="center"/>
        <w:rPr>
          <w:rFonts w:hint="eastAsia" w:hAnsi="宋体"/>
        </w:rPr>
      </w:pPr>
    </w:p>
    <w:p>
      <w:pPr>
        <w:pStyle w:val="28"/>
        <w:spacing w:line="420" w:lineRule="exact"/>
        <w:jc w:val="left"/>
        <w:rPr>
          <w:rFonts w:hint="eastAsia"/>
        </w:rPr>
      </w:pPr>
      <w:r>
        <w:rPr>
          <w:rFonts w:hint="eastAsia" w:hAnsi="宋体"/>
        </w:rPr>
        <w:t>合同使用说明：根据《中华人民共和国政府采购法》、《中华人民共和国合同法》等法律、法规规定，按照招标文件规定条款和中标供应商投标文件及其承诺，甲乙双方签订本合同。</w:t>
      </w:r>
    </w:p>
    <w:p>
      <w:r>
        <w:br w:type="page"/>
      </w:r>
    </w:p>
    <w:bookmarkEnd w:id="40"/>
    <w:p>
      <w:pPr>
        <w:spacing w:line="300" w:lineRule="auto"/>
        <w:ind w:left="420" w:hanging="420"/>
        <w:jc w:val="center"/>
        <w:rPr>
          <w:rFonts w:hint="eastAsia" w:ascii="黑体" w:eastAsia="黑体"/>
          <w:b/>
          <w:bCs/>
          <w:sz w:val="44"/>
          <w:szCs w:val="44"/>
        </w:rPr>
      </w:pPr>
      <w:r>
        <w:rPr>
          <w:rFonts w:hint="eastAsia" w:ascii="黑体" w:eastAsia="黑体"/>
          <w:b/>
          <w:sz w:val="44"/>
          <w:szCs w:val="44"/>
        </w:rPr>
        <w:t>采购</w:t>
      </w:r>
      <w:r>
        <w:rPr>
          <w:rFonts w:hint="eastAsia" w:ascii="黑体" w:eastAsia="黑体"/>
          <w:b/>
          <w:bCs/>
          <w:sz w:val="44"/>
          <w:szCs w:val="44"/>
        </w:rPr>
        <w:t>合同文本</w:t>
      </w:r>
    </w:p>
    <w:p>
      <w:pPr>
        <w:snapToGrid w:val="0"/>
        <w:spacing w:line="360" w:lineRule="exact"/>
        <w:jc w:val="center"/>
        <w:rPr>
          <w:rFonts w:hint="eastAsia" w:ascii="宋体"/>
          <w:b/>
          <w:bCs/>
          <w:szCs w:val="21"/>
        </w:rPr>
      </w:pPr>
      <w:r>
        <w:rPr>
          <w:rFonts w:hint="eastAsia" w:ascii="宋体"/>
          <w:b/>
          <w:bCs/>
          <w:szCs w:val="21"/>
        </w:rPr>
        <w:t>广西壮族自治区政府采购合同</w:t>
      </w:r>
    </w:p>
    <w:p/>
    <w:p>
      <w:pPr>
        <w:snapToGrid w:val="0"/>
        <w:spacing w:line="360" w:lineRule="exact"/>
        <w:ind w:right="480" w:firstLine="5985" w:firstLineChars="2850"/>
        <w:rPr>
          <w:bCs/>
          <w:szCs w:val="21"/>
        </w:rPr>
      </w:pPr>
    </w:p>
    <w:p>
      <w:pPr>
        <w:snapToGrid w:val="0"/>
        <w:spacing w:line="360" w:lineRule="exact"/>
        <w:ind w:right="480" w:firstLine="5985" w:firstLineChars="2850"/>
        <w:rPr>
          <w:rFonts w:hint="eastAsia" w:ascii="宋体"/>
          <w:bCs/>
          <w:szCs w:val="21"/>
          <w:u w:val="single"/>
        </w:rPr>
      </w:pPr>
      <w:r>
        <w:rPr>
          <w:rFonts w:hint="eastAsia" w:ascii="宋体"/>
          <w:bCs/>
          <w:szCs w:val="21"/>
        </w:rPr>
        <w:t>合同编号：</w:t>
      </w:r>
    </w:p>
    <w:p>
      <w:pPr>
        <w:snapToGrid w:val="0"/>
        <w:spacing w:line="360" w:lineRule="exact"/>
        <w:rPr>
          <w:rFonts w:hint="eastAsia" w:ascii="宋体"/>
          <w:szCs w:val="21"/>
        </w:rPr>
      </w:pPr>
    </w:p>
    <w:p>
      <w:pPr>
        <w:snapToGrid w:val="0"/>
        <w:spacing w:line="360" w:lineRule="exact"/>
        <w:rPr>
          <w:rFonts w:hint="eastAsia" w:ascii="宋体"/>
          <w:szCs w:val="21"/>
          <w:u w:val="single"/>
        </w:rPr>
      </w:pPr>
      <w:r>
        <w:rPr>
          <w:rFonts w:hint="eastAsia" w:ascii="宋体"/>
          <w:szCs w:val="21"/>
        </w:rPr>
        <w:t>采购单位（甲方）</w:t>
      </w:r>
      <w:r>
        <w:rPr>
          <w:rFonts w:hint="eastAsia" w:ascii="宋体"/>
          <w:szCs w:val="21"/>
          <w:u w:val="single"/>
        </w:rPr>
        <w:t xml:space="preserve">                          </w:t>
      </w:r>
      <w:r>
        <w:rPr>
          <w:rFonts w:hint="eastAsia" w:ascii="宋体"/>
          <w:szCs w:val="21"/>
        </w:rPr>
        <w:t xml:space="preserve">  </w:t>
      </w:r>
      <w:r>
        <w:rPr>
          <w:rFonts w:hint="eastAsia" w:ascii="宋体"/>
          <w:spacing w:val="-20"/>
          <w:szCs w:val="21"/>
        </w:rPr>
        <w:t>采 购 计 划 号</w:t>
      </w:r>
      <w:r>
        <w:rPr>
          <w:rFonts w:hint="eastAsia" w:ascii="宋体"/>
          <w:szCs w:val="21"/>
          <w:u w:val="single"/>
        </w:rPr>
        <w:t xml:space="preserve">                             </w:t>
      </w:r>
    </w:p>
    <w:p>
      <w:pPr>
        <w:snapToGrid w:val="0"/>
        <w:spacing w:line="360" w:lineRule="exact"/>
        <w:rPr>
          <w:rFonts w:hint="eastAsia" w:ascii="宋体"/>
          <w:szCs w:val="21"/>
          <w:u w:val="single"/>
        </w:rPr>
      </w:pPr>
      <w:r>
        <w:rPr>
          <w:rFonts w:hint="eastAsia" w:ascii="宋体"/>
          <w:szCs w:val="21"/>
        </w:rPr>
        <w:t>供 应 商（乙方）</w:t>
      </w:r>
      <w:r>
        <w:rPr>
          <w:rFonts w:hint="eastAsia" w:ascii="宋体"/>
          <w:szCs w:val="21"/>
          <w:u w:val="single"/>
        </w:rPr>
        <w:t xml:space="preserve">                          </w:t>
      </w:r>
      <w:r>
        <w:rPr>
          <w:rFonts w:hint="eastAsia" w:ascii="宋体"/>
          <w:szCs w:val="21"/>
        </w:rPr>
        <w:t xml:space="preserve">  项目名称</w:t>
      </w:r>
      <w:r>
        <w:rPr>
          <w:rFonts w:hint="eastAsia" w:ascii="宋体"/>
          <w:spacing w:val="-20"/>
          <w:szCs w:val="21"/>
        </w:rPr>
        <w:t>编 号</w:t>
      </w:r>
      <w:r>
        <w:rPr>
          <w:rFonts w:hint="eastAsia" w:ascii="宋体"/>
          <w:szCs w:val="21"/>
          <w:u w:val="single"/>
        </w:rPr>
        <w:t xml:space="preserve">                            </w:t>
      </w:r>
    </w:p>
    <w:p>
      <w:pPr>
        <w:snapToGrid w:val="0"/>
        <w:spacing w:line="360" w:lineRule="exact"/>
        <w:rPr>
          <w:rFonts w:hint="eastAsia" w:ascii="宋体"/>
          <w:szCs w:val="21"/>
          <w:u w:val="single"/>
        </w:rPr>
      </w:pPr>
      <w:r>
        <w:rPr>
          <w:rFonts w:hint="eastAsia" w:ascii="宋体"/>
          <w:szCs w:val="21"/>
        </w:rPr>
        <w:t xml:space="preserve">签  订  地  点  </w:t>
      </w:r>
      <w:r>
        <w:rPr>
          <w:rFonts w:hint="eastAsia" w:ascii="宋体"/>
          <w:szCs w:val="21"/>
          <w:u w:val="single"/>
        </w:rPr>
        <w:t xml:space="preserve">                          </w:t>
      </w:r>
      <w:r>
        <w:rPr>
          <w:rFonts w:hint="eastAsia" w:ascii="宋体"/>
          <w:szCs w:val="21"/>
        </w:rPr>
        <w:t xml:space="preserve">  签 订 时 间</w:t>
      </w:r>
      <w:r>
        <w:rPr>
          <w:rFonts w:hint="eastAsia" w:ascii="宋体"/>
          <w:szCs w:val="21"/>
          <w:u w:val="single"/>
        </w:rPr>
        <w:t xml:space="preserve">                             </w:t>
      </w:r>
    </w:p>
    <w:p>
      <w:pPr>
        <w:snapToGrid w:val="0"/>
        <w:spacing w:line="360" w:lineRule="exact"/>
        <w:ind w:firstLine="420" w:firstLineChars="200"/>
        <w:rPr>
          <w:rFonts w:hint="eastAsia" w:ascii="宋体"/>
          <w:szCs w:val="21"/>
        </w:rPr>
      </w:pPr>
    </w:p>
    <w:p>
      <w:pPr>
        <w:pStyle w:val="28"/>
        <w:spacing w:line="420" w:lineRule="exact"/>
        <w:ind w:firstLine="420" w:firstLineChars="200"/>
        <w:rPr>
          <w:rFonts w:hint="eastAsia"/>
        </w:rPr>
      </w:pPr>
      <w:r>
        <w:rPr>
          <w:rFonts w:hint="eastAsia"/>
        </w:rPr>
        <w:t>根据《中华人民共和国政府采购法》、《中华人民共和国合同法》等法律、法规规定，按照招标文件规定条款和中标供应商投标文件及其承诺，甲乙双方签订本合同。</w:t>
      </w:r>
    </w:p>
    <w:p>
      <w:pPr>
        <w:snapToGrid w:val="0"/>
        <w:spacing w:line="360" w:lineRule="exact"/>
        <w:ind w:firstLine="422" w:firstLineChars="200"/>
        <w:rPr>
          <w:rFonts w:hint="eastAsia" w:ascii="宋体"/>
          <w:b/>
          <w:szCs w:val="21"/>
        </w:rPr>
      </w:pPr>
      <w:r>
        <w:rPr>
          <w:rFonts w:hint="eastAsia" w:ascii="宋体"/>
          <w:b/>
          <w:szCs w:val="21"/>
        </w:rPr>
        <w:t>第一条　合同标的</w:t>
      </w:r>
    </w:p>
    <w:p>
      <w:pPr>
        <w:snapToGrid w:val="0"/>
        <w:spacing w:line="360" w:lineRule="exact"/>
        <w:ind w:firstLine="420" w:firstLineChars="200"/>
        <w:rPr>
          <w:rFonts w:hint="eastAsia" w:ascii="宋体"/>
          <w:szCs w:val="21"/>
        </w:rPr>
      </w:pPr>
      <w:r>
        <w:rPr>
          <w:rFonts w:hint="eastAsia" w:ascii="宋体"/>
          <w:szCs w:val="21"/>
        </w:rPr>
        <w:t>1、供货一览表</w:t>
      </w:r>
    </w:p>
    <w:tbl>
      <w:tblPr>
        <w:tblStyle w:val="57"/>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szCs w:val="21"/>
              </w:rPr>
            </w:pPr>
            <w:r>
              <w:rPr>
                <w:rFonts w:hint="eastAsia" w:ascii="宋体"/>
                <w:szCs w:val="21"/>
              </w:rPr>
              <w:t>序号</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szCs w:val="21"/>
              </w:rPr>
            </w:pPr>
            <w:r>
              <w:rPr>
                <w:rFonts w:hint="eastAsia" w:ascii="宋体"/>
                <w:szCs w:val="21"/>
              </w:rPr>
              <w:t>产品</w:t>
            </w:r>
          </w:p>
          <w:p>
            <w:pPr>
              <w:snapToGrid w:val="0"/>
              <w:spacing w:line="360" w:lineRule="exact"/>
              <w:jc w:val="center"/>
              <w:rPr>
                <w:rFonts w:hint="eastAsia" w:ascii="宋体"/>
                <w:szCs w:val="21"/>
              </w:rPr>
            </w:pPr>
            <w:r>
              <w:rPr>
                <w:rFonts w:hint="eastAsia" w:ascii="宋体"/>
                <w:szCs w:val="21"/>
              </w:rPr>
              <w:t>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szCs w:val="21"/>
              </w:rPr>
            </w:pPr>
            <w:r>
              <w:rPr>
                <w:rFonts w:hint="eastAsia" w:ascii="宋体"/>
                <w:szCs w:val="21"/>
              </w:rPr>
              <w:t>商标</w:t>
            </w:r>
          </w:p>
          <w:p>
            <w:pPr>
              <w:snapToGrid w:val="0"/>
              <w:spacing w:line="360" w:lineRule="exact"/>
              <w:jc w:val="center"/>
              <w:rPr>
                <w:rFonts w:hint="eastAsia" w:ascii="宋体"/>
                <w:szCs w:val="21"/>
              </w:rPr>
            </w:pPr>
            <w:r>
              <w:rPr>
                <w:rFonts w:hint="eastAsia" w:ascii="宋体"/>
                <w:szCs w:val="21"/>
              </w:rPr>
              <w:t>品牌</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szCs w:val="21"/>
              </w:rPr>
            </w:pPr>
            <w:r>
              <w:rPr>
                <w:rFonts w:hint="eastAsia" w:ascii="宋体"/>
                <w:szCs w:val="21"/>
              </w:rPr>
              <w:t>规格</w:t>
            </w:r>
          </w:p>
          <w:p>
            <w:pPr>
              <w:snapToGrid w:val="0"/>
              <w:spacing w:line="360" w:lineRule="exact"/>
              <w:jc w:val="center"/>
              <w:rPr>
                <w:rFonts w:hint="eastAsia" w:ascii="宋体"/>
                <w:szCs w:val="21"/>
              </w:rPr>
            </w:pPr>
            <w:r>
              <w:rPr>
                <w:rFonts w:hint="eastAsia" w:ascii="宋体"/>
                <w:szCs w:val="21"/>
              </w:rPr>
              <w:t>型号</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szCs w:val="21"/>
              </w:rPr>
            </w:pPr>
            <w:r>
              <w:rPr>
                <w:rFonts w:hint="eastAsia" w:ascii="宋体"/>
                <w:szCs w:val="21"/>
              </w:rPr>
              <w:t>生产</w:t>
            </w:r>
          </w:p>
          <w:p>
            <w:pPr>
              <w:snapToGrid w:val="0"/>
              <w:spacing w:line="360" w:lineRule="exact"/>
              <w:jc w:val="center"/>
              <w:rPr>
                <w:rFonts w:hint="eastAsia" w:ascii="宋体"/>
                <w:szCs w:val="21"/>
              </w:rPr>
            </w:pPr>
            <w:r>
              <w:rPr>
                <w:rFonts w:hint="eastAsia" w:ascii="宋体"/>
                <w:szCs w:val="21"/>
              </w:rPr>
              <w:t>厂家</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szCs w:val="21"/>
              </w:rPr>
            </w:pPr>
            <w:r>
              <w:rPr>
                <w:rFonts w:hint="eastAsia" w:ascii="宋体"/>
                <w:szCs w:val="21"/>
              </w:rPr>
              <w:t>数  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szCs w:val="21"/>
              </w:rPr>
            </w:pPr>
            <w:r>
              <w:rPr>
                <w:rFonts w:hint="eastAsia" w:ascii="宋体"/>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szCs w:val="21"/>
              </w:rPr>
            </w:pPr>
            <w:r>
              <w:rPr>
                <w:rFonts w:hint="eastAsia" w:ascii="宋体"/>
                <w:szCs w:val="21"/>
              </w:rPr>
              <w:t>单  价</w:t>
            </w:r>
          </w:p>
          <w:p>
            <w:pPr>
              <w:snapToGrid w:val="0"/>
              <w:spacing w:line="360" w:lineRule="exact"/>
              <w:jc w:val="center"/>
              <w:rPr>
                <w:rFonts w:hint="eastAsia" w:ascii="宋体"/>
                <w:szCs w:val="21"/>
              </w:rPr>
            </w:pPr>
            <w:r>
              <w:rPr>
                <w:rFonts w:hint="eastAsia" w:ascii="宋体"/>
                <w:szCs w:val="21"/>
              </w:rPr>
              <w:t>（元）</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szCs w:val="21"/>
              </w:rPr>
            </w:pPr>
            <w:r>
              <w:rPr>
                <w:rFonts w:hint="eastAsia" w:ascii="宋体"/>
                <w:szCs w:val="21"/>
              </w:rPr>
              <w:t>金  额</w:t>
            </w:r>
          </w:p>
          <w:p>
            <w:pPr>
              <w:snapToGrid w:val="0"/>
              <w:spacing w:line="360" w:lineRule="exact"/>
              <w:jc w:val="center"/>
              <w:rPr>
                <w:rFonts w:hint="eastAsia" w:ascii="宋体"/>
                <w:szCs w:val="21"/>
              </w:rPr>
            </w:pPr>
            <w:r>
              <w:rPr>
                <w:rFonts w:hint="eastAsia" w:ascii="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szCs w:val="21"/>
              </w:rPr>
            </w:pPr>
          </w:p>
        </w:tc>
        <w:tc>
          <w:tcPr>
            <w:tcW w:w="904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szCs w:val="21"/>
              </w:rPr>
            </w:pPr>
            <w:r>
              <w:rPr>
                <w:rFonts w:hint="eastAsia" w:ascii="宋体"/>
                <w:szCs w:val="21"/>
              </w:rPr>
              <w:t>制作合同时须补充完整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9540"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szCs w:val="21"/>
              </w:rPr>
            </w:pPr>
            <w:r>
              <w:rPr>
                <w:rFonts w:hint="eastAsia" w:ascii="宋体"/>
                <w:szCs w:val="21"/>
              </w:rPr>
              <w:t xml:space="preserve">人民币合计金额（大写）                          （小写）                 </w:t>
            </w:r>
          </w:p>
        </w:tc>
      </w:tr>
    </w:tbl>
    <w:p>
      <w:pPr>
        <w:numPr>
          <w:ilvl w:val="0"/>
          <w:numId w:val="5"/>
        </w:numPr>
        <w:snapToGrid w:val="0"/>
        <w:spacing w:line="360" w:lineRule="exact"/>
        <w:ind w:right="420" w:firstLine="420" w:firstLineChars="200"/>
        <w:rPr>
          <w:rFonts w:hint="eastAsia" w:ascii="宋体"/>
          <w:szCs w:val="21"/>
        </w:rPr>
      </w:pPr>
      <w:r>
        <w:rPr>
          <w:rFonts w:hint="eastAsia" w:ascii="宋体"/>
          <w:szCs w:val="21"/>
        </w:rPr>
        <w:t>合同合计金额包括货物价款，标准附件、备品配件、专用工具、安装耗材、包装、运输、装卸、保险、税金、货物到就位以及安装、调试、检验、技术培训及技术资料、软件费、保修等全部费用。如招投标文件对其另有规定的，从其规定。</w:t>
      </w:r>
    </w:p>
    <w:p>
      <w:pPr>
        <w:snapToGrid w:val="0"/>
        <w:spacing w:line="360" w:lineRule="exact"/>
        <w:ind w:firstLine="422" w:firstLineChars="200"/>
        <w:rPr>
          <w:rFonts w:hint="eastAsia" w:ascii="宋体"/>
          <w:szCs w:val="21"/>
        </w:rPr>
      </w:pPr>
      <w:r>
        <w:rPr>
          <w:rFonts w:hint="eastAsia" w:ascii="宋体"/>
          <w:b/>
          <w:szCs w:val="21"/>
        </w:rPr>
        <w:t>第二条　质量保证</w:t>
      </w:r>
    </w:p>
    <w:p>
      <w:pPr>
        <w:snapToGrid w:val="0"/>
        <w:spacing w:line="360" w:lineRule="exact"/>
        <w:ind w:firstLine="420" w:firstLineChars="200"/>
        <w:rPr>
          <w:rFonts w:hint="eastAsia"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60" w:lineRule="exact"/>
        <w:ind w:firstLine="420" w:firstLineChars="200"/>
        <w:rPr>
          <w:rFonts w:hint="eastAsia" w:ascii="宋体"/>
          <w:szCs w:val="21"/>
          <w:u w:val="single"/>
        </w:rPr>
      </w:pPr>
      <w:r>
        <w:rPr>
          <w:rFonts w:hint="eastAsia" w:ascii="宋体"/>
          <w:szCs w:val="21"/>
        </w:rPr>
        <w:t>2、乙方应按招标文件规定的货物性能、技术要求、质量标准提供全新、未经使用的原装产品，且在正常安装、使用和保养条件下，其使用寿命期内各项指标均达到质量要求。</w:t>
      </w:r>
    </w:p>
    <w:p>
      <w:pPr>
        <w:snapToGrid w:val="0"/>
        <w:spacing w:line="360" w:lineRule="exact"/>
        <w:ind w:firstLine="422" w:firstLineChars="200"/>
        <w:rPr>
          <w:rFonts w:hint="eastAsia" w:ascii="宋体"/>
          <w:szCs w:val="21"/>
        </w:rPr>
      </w:pPr>
      <w:r>
        <w:rPr>
          <w:rFonts w:hint="eastAsia" w:ascii="宋体"/>
          <w:b/>
          <w:szCs w:val="21"/>
        </w:rPr>
        <w:t>第三条　权利保证</w:t>
      </w:r>
    </w:p>
    <w:p>
      <w:pPr>
        <w:snapToGrid w:val="0"/>
        <w:spacing w:line="360" w:lineRule="exact"/>
        <w:ind w:firstLine="420" w:firstLineChars="200"/>
        <w:rPr>
          <w:rFonts w:hint="eastAsia" w:ascii="宋体"/>
          <w:szCs w:val="21"/>
        </w:rPr>
      </w:pPr>
      <w:r>
        <w:rPr>
          <w:rFonts w:hint="eastAsia" w:ascii="宋体"/>
          <w:szCs w:val="21"/>
        </w:rPr>
        <w:t>1、乙方应保证所提供货物在使用时不会侵犯任何第三方的专利权、商标权、工业设计权或其他权利。</w:t>
      </w:r>
    </w:p>
    <w:p>
      <w:pPr>
        <w:snapToGrid w:val="0"/>
        <w:spacing w:line="360" w:lineRule="exact"/>
        <w:ind w:firstLine="420" w:firstLineChars="200"/>
        <w:rPr>
          <w:rFonts w:hint="eastAsia" w:ascii="宋体"/>
          <w:szCs w:val="21"/>
        </w:rPr>
      </w:pPr>
      <w:r>
        <w:rPr>
          <w:rFonts w:hint="eastAsia" w:ascii="宋体"/>
          <w:szCs w:val="21"/>
        </w:rPr>
        <w:t>2、乙方应按招标文件规定的时间向甲方提供使用货物的有关技术资料。</w:t>
      </w:r>
    </w:p>
    <w:p>
      <w:pPr>
        <w:snapToGrid w:val="0"/>
        <w:spacing w:line="360" w:lineRule="exact"/>
        <w:ind w:firstLine="420" w:firstLineChars="200"/>
        <w:rPr>
          <w:rFonts w:hint="eastAsia" w:ascii="宋体"/>
          <w:szCs w:val="21"/>
        </w:rPr>
      </w:pPr>
      <w:r>
        <w:rPr>
          <w:rFonts w:hint="eastAsia" w:ascii="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firstLine="420" w:firstLineChars="200"/>
        <w:rPr>
          <w:rFonts w:hint="eastAsia" w:ascii="宋体"/>
          <w:szCs w:val="21"/>
        </w:rPr>
      </w:pPr>
      <w:r>
        <w:rPr>
          <w:rFonts w:hint="eastAsia" w:ascii="宋体"/>
          <w:szCs w:val="21"/>
        </w:rPr>
        <w:t>4、乙方保证所交付的货物的所有权完全属于乙方且无任何抵押、质押、查封等产权瑕疵。</w:t>
      </w:r>
    </w:p>
    <w:p>
      <w:pPr>
        <w:snapToGrid w:val="0"/>
        <w:spacing w:line="360" w:lineRule="exact"/>
        <w:ind w:firstLine="422" w:firstLineChars="200"/>
        <w:rPr>
          <w:rFonts w:hint="eastAsia" w:ascii="宋体"/>
          <w:b/>
          <w:szCs w:val="21"/>
        </w:rPr>
      </w:pPr>
      <w:r>
        <w:rPr>
          <w:rFonts w:hint="eastAsia" w:ascii="宋体"/>
          <w:b/>
          <w:szCs w:val="21"/>
        </w:rPr>
        <w:t>第四条　包装和运输</w:t>
      </w:r>
    </w:p>
    <w:p>
      <w:pPr>
        <w:snapToGrid w:val="0"/>
        <w:spacing w:line="360" w:lineRule="exact"/>
        <w:ind w:firstLine="420" w:firstLineChars="200"/>
        <w:rPr>
          <w:rFonts w:hint="eastAsia"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60" w:lineRule="exact"/>
        <w:ind w:firstLine="420" w:firstLineChars="200"/>
        <w:rPr>
          <w:rFonts w:hint="eastAsia" w:ascii="宋体"/>
          <w:szCs w:val="21"/>
        </w:rPr>
      </w:pPr>
      <w:r>
        <w:rPr>
          <w:rFonts w:hint="eastAsia" w:ascii="宋体"/>
          <w:szCs w:val="21"/>
        </w:rPr>
        <w:t>2、货物的运输方式：</w:t>
      </w:r>
      <w:r>
        <w:rPr>
          <w:rFonts w:hint="eastAsia" w:ascii="宋体"/>
          <w:szCs w:val="21"/>
          <w:u w:val="single"/>
        </w:rPr>
        <w:t xml:space="preserve">  乙方自定  。</w:t>
      </w:r>
    </w:p>
    <w:p>
      <w:pPr>
        <w:snapToGrid w:val="0"/>
        <w:spacing w:line="360" w:lineRule="exact"/>
        <w:ind w:firstLine="420" w:firstLineChars="200"/>
        <w:rPr>
          <w:rFonts w:hint="eastAsia" w:ascii="宋体"/>
          <w:szCs w:val="21"/>
          <w:u w:val="single"/>
        </w:rPr>
      </w:pPr>
      <w:r>
        <w:rPr>
          <w:rFonts w:hint="eastAsia" w:ascii="宋体"/>
          <w:szCs w:val="21"/>
        </w:rPr>
        <w:t>3、乙方负责货物运输，货物运输合理损耗及计算方法：</w:t>
      </w:r>
      <w:r>
        <w:rPr>
          <w:rFonts w:hint="eastAsia" w:ascii="宋体"/>
          <w:szCs w:val="21"/>
          <w:u w:val="single"/>
        </w:rPr>
        <w:t xml:space="preserve">  甲方不接受损耗    。</w:t>
      </w:r>
    </w:p>
    <w:p>
      <w:pPr>
        <w:snapToGrid w:val="0"/>
        <w:spacing w:line="360" w:lineRule="exact"/>
        <w:ind w:firstLine="422" w:firstLineChars="200"/>
        <w:rPr>
          <w:rFonts w:hint="eastAsia" w:ascii="宋体"/>
          <w:szCs w:val="21"/>
        </w:rPr>
      </w:pPr>
      <w:r>
        <w:rPr>
          <w:rFonts w:hint="eastAsia" w:ascii="宋体"/>
          <w:b/>
          <w:szCs w:val="21"/>
        </w:rPr>
        <w:t>第五条　交付和验收</w:t>
      </w:r>
    </w:p>
    <w:p>
      <w:pPr>
        <w:snapToGrid w:val="0"/>
        <w:spacing w:line="360" w:lineRule="exact"/>
        <w:ind w:firstLine="420" w:firstLineChars="200"/>
        <w:rPr>
          <w:rFonts w:hint="eastAsia" w:ascii="宋体"/>
          <w:szCs w:val="21"/>
        </w:rPr>
      </w:pPr>
      <w:r>
        <w:rPr>
          <w:rFonts w:hint="eastAsia" w:ascii="宋体"/>
          <w:szCs w:val="21"/>
        </w:rPr>
        <w:t>1、交付使用时间、地点。</w:t>
      </w:r>
    </w:p>
    <w:p>
      <w:pPr>
        <w:ind w:firstLine="525" w:firstLineChars="249"/>
        <w:rPr>
          <w:rFonts w:hint="eastAsia" w:ascii="宋体"/>
          <w:b/>
          <w:szCs w:val="21"/>
        </w:rPr>
      </w:pPr>
      <w:r>
        <w:rPr>
          <w:rFonts w:hint="eastAsia" w:ascii="宋体"/>
          <w:b/>
          <w:szCs w:val="21"/>
        </w:rPr>
        <w:t>交付使用时间：按乙方投标文件中所承诺的时间；交付使用地点：采购人指定地点。</w:t>
      </w:r>
    </w:p>
    <w:p>
      <w:pPr>
        <w:snapToGrid w:val="0"/>
        <w:spacing w:line="360" w:lineRule="exact"/>
        <w:ind w:firstLine="420" w:firstLineChars="200"/>
        <w:rPr>
          <w:rFonts w:hint="eastAsia" w:ascii="宋体"/>
          <w:szCs w:val="21"/>
        </w:rPr>
      </w:pPr>
      <w:r>
        <w:rPr>
          <w:rFonts w:hint="eastAsia" w:ascii="宋体"/>
          <w:szCs w:val="21"/>
        </w:rPr>
        <w:t>2、乙方提供不符合招投标文件和本合同规定的货物，甲方有权拒绝接受。</w:t>
      </w:r>
    </w:p>
    <w:p>
      <w:pPr>
        <w:snapToGrid w:val="0"/>
        <w:spacing w:line="360" w:lineRule="exact"/>
        <w:ind w:firstLine="420" w:firstLineChars="200"/>
        <w:rPr>
          <w:rFonts w:hint="eastAsia"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60" w:lineRule="exact"/>
        <w:ind w:firstLine="420" w:firstLineChars="200"/>
        <w:rPr>
          <w:rFonts w:hint="eastAsia" w:ascii="宋体"/>
          <w:szCs w:val="21"/>
        </w:rPr>
      </w:pPr>
      <w:r>
        <w:rPr>
          <w:rFonts w:hint="eastAsia" w:ascii="宋体"/>
          <w:szCs w:val="21"/>
        </w:rPr>
        <w:t>4、甲方应当在到货（安装、调试完）后十个工作日内进行验收，逾期不验收的，乙方可视同验收合格。</w:t>
      </w:r>
    </w:p>
    <w:p>
      <w:pPr>
        <w:snapToGrid w:val="0"/>
        <w:spacing w:line="360" w:lineRule="exact"/>
        <w:ind w:firstLine="420" w:firstLineChars="200"/>
        <w:rPr>
          <w:rFonts w:hint="eastAsia" w:ascii="宋体"/>
          <w:szCs w:val="21"/>
        </w:rPr>
      </w:pPr>
      <w:r>
        <w:rPr>
          <w:rFonts w:hint="eastAsia" w:ascii="宋体"/>
          <w:szCs w:val="21"/>
        </w:rPr>
        <w:t>5、甲方对验收有异议的，在验收后五个工作日内以书面形式向乙方提出，乙方应自收到甲方书面异议后</w:t>
      </w:r>
      <w:r>
        <w:rPr>
          <w:rFonts w:hint="eastAsia" w:ascii="宋体"/>
          <w:szCs w:val="21"/>
          <w:u w:val="single"/>
        </w:rPr>
        <w:t xml:space="preserve">   五  </w:t>
      </w:r>
      <w:r>
        <w:rPr>
          <w:rFonts w:hint="eastAsia" w:ascii="宋体"/>
          <w:szCs w:val="21"/>
        </w:rPr>
        <w:t>日内及时予以解决。</w:t>
      </w:r>
    </w:p>
    <w:p>
      <w:pPr>
        <w:snapToGrid w:val="0"/>
        <w:spacing w:line="360" w:lineRule="exact"/>
        <w:ind w:firstLine="422" w:firstLineChars="200"/>
        <w:rPr>
          <w:rFonts w:hint="eastAsia" w:ascii="宋体"/>
          <w:b/>
          <w:szCs w:val="21"/>
        </w:rPr>
      </w:pPr>
      <w:r>
        <w:rPr>
          <w:rFonts w:hint="eastAsia" w:ascii="宋体"/>
          <w:b/>
          <w:szCs w:val="21"/>
        </w:rPr>
        <w:t>第六条　安装和培训</w:t>
      </w:r>
    </w:p>
    <w:p>
      <w:pPr>
        <w:snapToGrid w:val="0"/>
        <w:spacing w:line="360" w:lineRule="exact"/>
        <w:ind w:firstLine="420" w:firstLineChars="200"/>
        <w:rPr>
          <w:rFonts w:hint="eastAsia" w:ascii="宋体"/>
          <w:szCs w:val="21"/>
        </w:rPr>
      </w:pPr>
      <w:r>
        <w:rPr>
          <w:rFonts w:hint="eastAsia" w:ascii="宋体"/>
          <w:szCs w:val="21"/>
        </w:rPr>
        <w:t>1、甲方应提供必要安装条件（如场地、电源、水源等）。</w:t>
      </w:r>
    </w:p>
    <w:p>
      <w:pPr>
        <w:snapToGrid w:val="0"/>
        <w:spacing w:line="360" w:lineRule="exact"/>
        <w:ind w:firstLine="420" w:firstLineChars="200"/>
        <w:rPr>
          <w:rFonts w:hint="eastAsia"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60" w:lineRule="exact"/>
        <w:ind w:firstLine="422" w:firstLineChars="200"/>
        <w:rPr>
          <w:rFonts w:hint="eastAsia" w:ascii="宋体"/>
          <w:b/>
          <w:szCs w:val="21"/>
        </w:rPr>
      </w:pPr>
      <w:r>
        <w:rPr>
          <w:rFonts w:hint="eastAsia" w:ascii="宋体"/>
          <w:b/>
          <w:szCs w:val="21"/>
        </w:rPr>
        <w:t>第七条  售后服务、保修期</w:t>
      </w:r>
    </w:p>
    <w:p>
      <w:pPr>
        <w:snapToGrid w:val="0"/>
        <w:spacing w:line="360" w:lineRule="exact"/>
        <w:ind w:firstLine="420" w:firstLineChars="200"/>
        <w:rPr>
          <w:rFonts w:hint="eastAsia"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60" w:lineRule="exact"/>
        <w:ind w:firstLine="420" w:firstLineChars="200"/>
        <w:rPr>
          <w:rFonts w:hint="eastAsia" w:ascii="宋体"/>
          <w:szCs w:val="21"/>
          <w:u w:val="single"/>
        </w:rPr>
      </w:pPr>
      <w:r>
        <w:rPr>
          <w:rFonts w:hint="eastAsia" w:ascii="宋体"/>
          <w:szCs w:val="21"/>
        </w:rPr>
        <w:t>2、货物保修期：</w:t>
      </w:r>
      <w:r>
        <w:rPr>
          <w:rFonts w:hint="eastAsia"/>
          <w:b/>
          <w:szCs w:val="21"/>
          <w:u w:val="single"/>
        </w:rPr>
        <w:t>按投标响应</w:t>
      </w:r>
      <w:r>
        <w:rPr>
          <w:rFonts w:hint="eastAsia" w:ascii="宋体"/>
          <w:szCs w:val="21"/>
        </w:rPr>
        <w:t>。</w:t>
      </w:r>
    </w:p>
    <w:p>
      <w:pPr>
        <w:snapToGrid w:val="0"/>
        <w:spacing w:line="360" w:lineRule="exact"/>
        <w:ind w:firstLine="420" w:firstLineChars="200"/>
        <w:rPr>
          <w:rFonts w:hint="eastAsia" w:ascii="宋体"/>
          <w:szCs w:val="21"/>
          <w:u w:val="single"/>
        </w:rPr>
      </w:pPr>
      <w:r>
        <w:rPr>
          <w:rFonts w:hint="eastAsia" w:ascii="宋体"/>
          <w:szCs w:val="21"/>
        </w:rPr>
        <w:t>3、乙方提供的服务承诺和售后服务及保修期责任等其它具体约定事项。（见合同附件）</w:t>
      </w:r>
    </w:p>
    <w:p>
      <w:pPr>
        <w:snapToGrid w:val="0"/>
        <w:spacing w:line="360" w:lineRule="exact"/>
        <w:ind w:firstLine="422" w:firstLineChars="200"/>
        <w:rPr>
          <w:rFonts w:hint="eastAsia" w:ascii="宋体"/>
          <w:szCs w:val="21"/>
        </w:rPr>
      </w:pPr>
      <w:r>
        <w:rPr>
          <w:rFonts w:hint="eastAsia" w:ascii="宋体"/>
          <w:b/>
          <w:szCs w:val="21"/>
        </w:rPr>
        <w:t>第八条　付款方式和保证金</w:t>
      </w:r>
    </w:p>
    <w:p>
      <w:pPr>
        <w:pStyle w:val="28"/>
        <w:snapToGrid w:val="0"/>
        <w:spacing w:before="120" w:after="120" w:line="360" w:lineRule="exact"/>
        <w:ind w:left="420" w:leftChars="200"/>
        <w:rPr>
          <w:szCs w:val="21"/>
          <w:u w:val="single"/>
        </w:rPr>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60" w:lineRule="exact"/>
        <w:ind w:firstLine="422" w:firstLineChars="200"/>
        <w:rPr>
          <w:szCs w:val="21"/>
        </w:rPr>
      </w:pPr>
      <w:r>
        <w:rPr>
          <w:b/>
          <w:szCs w:val="21"/>
        </w:rPr>
        <w:t>第八条　付款方式</w:t>
      </w:r>
    </w:p>
    <w:p>
      <w:pPr>
        <w:snapToGrid w:val="0"/>
        <w:spacing w:line="300" w:lineRule="exact"/>
        <w:ind w:firstLine="420" w:firstLineChars="200"/>
        <w:rPr>
          <w:szCs w:val="21"/>
        </w:rPr>
      </w:pPr>
      <w:r>
        <w:rPr>
          <w:szCs w:val="21"/>
        </w:rPr>
        <w:t>1.资金性质：</w:t>
      </w:r>
      <w:r>
        <w:rPr>
          <w:color w:val="4472C4"/>
          <w:szCs w:val="21"/>
          <w:u w:val="single"/>
        </w:rPr>
        <w:t>财政性资金</w:t>
      </w:r>
      <w:r>
        <w:rPr>
          <w:szCs w:val="21"/>
        </w:rPr>
        <w:t>。</w:t>
      </w:r>
    </w:p>
    <w:p>
      <w:pPr>
        <w:snapToGrid w:val="0"/>
        <w:spacing w:line="300" w:lineRule="exact"/>
        <w:ind w:firstLine="420" w:firstLineChars="200"/>
        <w:rPr>
          <w:szCs w:val="21"/>
        </w:rPr>
      </w:pPr>
      <w:r>
        <w:rPr>
          <w:szCs w:val="21"/>
        </w:rPr>
        <w:t>2.付款方式：</w:t>
      </w:r>
    </w:p>
    <w:p>
      <w:pPr>
        <w:snapToGrid w:val="0"/>
        <w:spacing w:line="360" w:lineRule="exact"/>
        <w:ind w:firstLine="420" w:firstLineChars="200"/>
        <w:rPr>
          <w:rFonts w:hint="eastAsia" w:ascii="宋体"/>
          <w:szCs w:val="21"/>
          <w:u w:val="single"/>
        </w:rPr>
      </w:pPr>
      <w:bookmarkStart w:id="41" w:name="_Hlk47715495"/>
      <w:bookmarkStart w:id="42" w:name="_Hlk48144383"/>
      <w:r>
        <w:rPr>
          <w:rFonts w:hint="eastAsia" w:ascii="宋体"/>
          <w:szCs w:val="21"/>
        </w:rPr>
        <w:t>2、资金性质：</w:t>
      </w:r>
      <w:r>
        <w:rPr>
          <w:rFonts w:hint="eastAsia" w:ascii="宋体"/>
          <w:szCs w:val="21"/>
          <w:u w:val="single"/>
        </w:rPr>
        <w:t xml:space="preserve"> </w:t>
      </w:r>
      <w:r>
        <w:rPr>
          <w:rFonts w:hint="eastAsia" w:ascii="宋体"/>
          <w:b/>
          <w:szCs w:val="21"/>
          <w:u w:val="single"/>
        </w:rPr>
        <w:t>财政性资金</w:t>
      </w:r>
      <w:r>
        <w:rPr>
          <w:rFonts w:hint="eastAsia" w:ascii="宋体"/>
          <w:b/>
          <w:szCs w:val="21"/>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eastAsia" w:ascii="宋体"/>
          <w:szCs w:val="21"/>
        </w:rPr>
      </w:pPr>
      <w:r>
        <w:rPr>
          <w:rFonts w:hint="eastAsia" w:ascii="宋体"/>
          <w:szCs w:val="21"/>
        </w:rPr>
        <w:t>3、付款方式：</w:t>
      </w:r>
    </w:p>
    <w:p>
      <w:pPr>
        <w:ind w:firstLine="420" w:firstLineChars="200"/>
        <w:jc w:val="left"/>
        <w:rPr>
          <w:szCs w:val="21"/>
          <w:u w:val="single"/>
        </w:rPr>
      </w:pPr>
      <w:r>
        <w:rPr>
          <w:rFonts w:hint="eastAsia" w:ascii="宋体"/>
          <w:szCs w:val="21"/>
          <w:u w:val="single"/>
        </w:rPr>
        <w:t>3.</w:t>
      </w:r>
      <w:r>
        <w:rPr>
          <w:szCs w:val="21"/>
          <w:u w:val="single"/>
        </w:rPr>
        <w:t>1签订合同后10个工作日内</w:t>
      </w:r>
      <w:r>
        <w:rPr>
          <w:rFonts w:hint="eastAsia"/>
          <w:szCs w:val="21"/>
          <w:u w:val="single"/>
        </w:rPr>
        <w:t>甲方</w:t>
      </w:r>
      <w:r>
        <w:rPr>
          <w:szCs w:val="21"/>
          <w:u w:val="single"/>
        </w:rPr>
        <w:t>向</w:t>
      </w:r>
      <w:r>
        <w:rPr>
          <w:rFonts w:hint="eastAsia"/>
          <w:szCs w:val="21"/>
          <w:u w:val="single"/>
        </w:rPr>
        <w:t>乙方</w:t>
      </w:r>
      <w:r>
        <w:rPr>
          <w:szCs w:val="21"/>
          <w:u w:val="single"/>
        </w:rPr>
        <w:t>支付合同总金额30%的预付款，待货物安装调试完毕并最终验收合格后，开具全额发票给</w:t>
      </w:r>
      <w:r>
        <w:rPr>
          <w:rFonts w:hint="eastAsia"/>
          <w:szCs w:val="21"/>
          <w:u w:val="single"/>
        </w:rPr>
        <w:t>甲方</w:t>
      </w:r>
      <w:r>
        <w:rPr>
          <w:szCs w:val="21"/>
          <w:u w:val="single"/>
        </w:rPr>
        <w:t>，</w:t>
      </w:r>
      <w:r>
        <w:rPr>
          <w:rFonts w:hint="eastAsia"/>
          <w:szCs w:val="21"/>
          <w:u w:val="single"/>
        </w:rPr>
        <w:t>甲方</w:t>
      </w:r>
      <w:r>
        <w:rPr>
          <w:szCs w:val="21"/>
          <w:u w:val="single"/>
        </w:rPr>
        <w:t>在15个工作日内付清</w:t>
      </w:r>
      <w:r>
        <w:rPr>
          <w:rFonts w:hint="eastAsia"/>
          <w:szCs w:val="21"/>
          <w:u w:val="single"/>
        </w:rPr>
        <w:t>乙方</w:t>
      </w:r>
      <w:r>
        <w:rPr>
          <w:szCs w:val="21"/>
          <w:u w:val="single"/>
        </w:rPr>
        <w:t>剩余的70%合同款。</w:t>
      </w:r>
    </w:p>
    <w:p>
      <w:pPr>
        <w:ind w:firstLine="420" w:firstLineChars="200"/>
        <w:jc w:val="left"/>
        <w:rPr>
          <w:szCs w:val="21"/>
          <w:u w:val="single"/>
        </w:rPr>
      </w:pPr>
      <w:r>
        <w:rPr>
          <w:rFonts w:hint="eastAsia"/>
          <w:szCs w:val="21"/>
          <w:u w:val="single"/>
        </w:rPr>
        <w:t>3.2乙方</w:t>
      </w:r>
      <w:r>
        <w:rPr>
          <w:szCs w:val="21"/>
          <w:u w:val="single"/>
        </w:rPr>
        <w:t>按采购合同交货并安装调试完成后或服务完成后，</w:t>
      </w:r>
      <w:r>
        <w:rPr>
          <w:rFonts w:hint="eastAsia"/>
          <w:szCs w:val="21"/>
          <w:u w:val="single"/>
        </w:rPr>
        <w:t>甲方</w:t>
      </w:r>
      <w:r>
        <w:rPr>
          <w:szCs w:val="21"/>
          <w:u w:val="single"/>
        </w:rPr>
        <w:t>签署项目验收书；</w:t>
      </w:r>
    </w:p>
    <w:p>
      <w:pPr>
        <w:ind w:firstLine="420" w:firstLineChars="200"/>
        <w:jc w:val="left"/>
        <w:rPr>
          <w:szCs w:val="21"/>
          <w:u w:val="single"/>
        </w:rPr>
      </w:pPr>
      <w:r>
        <w:rPr>
          <w:rFonts w:hint="eastAsia"/>
          <w:szCs w:val="21"/>
          <w:u w:val="single"/>
        </w:rPr>
        <w:t>3.3</w:t>
      </w:r>
      <w:r>
        <w:rPr>
          <w:szCs w:val="21"/>
          <w:u w:val="single"/>
        </w:rPr>
        <w:t>票据要求：</w:t>
      </w:r>
      <w:r>
        <w:rPr>
          <w:rFonts w:hint="eastAsia"/>
          <w:szCs w:val="21"/>
          <w:u w:val="single"/>
        </w:rPr>
        <w:t>乙方</w:t>
      </w:r>
      <w:r>
        <w:rPr>
          <w:szCs w:val="21"/>
          <w:u w:val="single"/>
        </w:rPr>
        <w:t>必须按照</w:t>
      </w:r>
      <w:r>
        <w:rPr>
          <w:rFonts w:hint="eastAsia"/>
          <w:szCs w:val="21"/>
          <w:u w:val="single"/>
        </w:rPr>
        <w:t>甲方</w:t>
      </w:r>
      <w:r>
        <w:rPr>
          <w:szCs w:val="21"/>
          <w:u w:val="single"/>
        </w:rPr>
        <w:t>要求提供真实、有效、合法的正式发票。一旦发现</w:t>
      </w:r>
      <w:r>
        <w:rPr>
          <w:rFonts w:hint="eastAsia"/>
          <w:szCs w:val="21"/>
          <w:u w:val="single"/>
        </w:rPr>
        <w:t>乙方</w:t>
      </w:r>
      <w:r>
        <w:rPr>
          <w:szCs w:val="21"/>
          <w:u w:val="single"/>
        </w:rPr>
        <w:t>提供虚假发票，除须向</w:t>
      </w:r>
      <w:r>
        <w:rPr>
          <w:rFonts w:hint="eastAsia"/>
          <w:szCs w:val="21"/>
          <w:u w:val="single"/>
        </w:rPr>
        <w:t>甲方</w:t>
      </w:r>
      <w:r>
        <w:rPr>
          <w:szCs w:val="21"/>
          <w:u w:val="single"/>
        </w:rPr>
        <w:t>补开合法发票外，须赔偿</w:t>
      </w:r>
      <w:r>
        <w:rPr>
          <w:rFonts w:hint="eastAsia"/>
          <w:szCs w:val="21"/>
          <w:u w:val="single"/>
        </w:rPr>
        <w:t>甲方</w:t>
      </w:r>
      <w:r>
        <w:rPr>
          <w:szCs w:val="21"/>
          <w:u w:val="single"/>
        </w:rPr>
        <w:t>发票票面金额一倍的违约金，且</w:t>
      </w:r>
      <w:r>
        <w:rPr>
          <w:rFonts w:hint="eastAsia"/>
          <w:szCs w:val="21"/>
          <w:u w:val="single"/>
        </w:rPr>
        <w:t>甲方</w:t>
      </w:r>
      <w:r>
        <w:rPr>
          <w:szCs w:val="21"/>
          <w:u w:val="single"/>
        </w:rPr>
        <w:t>有权终止合同，</w:t>
      </w:r>
      <w:r>
        <w:rPr>
          <w:rFonts w:hint="eastAsia"/>
          <w:szCs w:val="21"/>
          <w:u w:val="single"/>
        </w:rPr>
        <w:t>乙方</w:t>
      </w:r>
      <w:r>
        <w:rPr>
          <w:szCs w:val="21"/>
          <w:u w:val="single"/>
        </w:rPr>
        <w:t>不得提出异议，因终止合同而产生的一切损失均由</w:t>
      </w:r>
      <w:r>
        <w:rPr>
          <w:rFonts w:hint="eastAsia"/>
          <w:szCs w:val="21"/>
          <w:u w:val="single"/>
        </w:rPr>
        <w:t>乙方</w:t>
      </w:r>
      <w:r>
        <w:rPr>
          <w:szCs w:val="21"/>
          <w:u w:val="single"/>
        </w:rPr>
        <w:t>承担。</w:t>
      </w:r>
    </w:p>
    <w:p>
      <w:pPr>
        <w:snapToGrid w:val="0"/>
        <w:spacing w:line="300" w:lineRule="exact"/>
        <w:ind w:firstLine="525" w:firstLineChars="250"/>
        <w:rPr>
          <w:szCs w:val="21"/>
          <w:u w:val="single"/>
        </w:rPr>
      </w:pPr>
      <w:r>
        <w:rPr>
          <w:rFonts w:hint="eastAsia"/>
          <w:szCs w:val="21"/>
        </w:rPr>
        <w:t>应付货款之日按以下方式：</w:t>
      </w:r>
      <w:r>
        <w:rPr>
          <w:rFonts w:hint="eastAsia"/>
          <w:szCs w:val="21"/>
          <w:u w:val="single"/>
        </w:rPr>
        <w:t xml:space="preserve"> (b)</w:t>
      </w:r>
      <w:r>
        <w:rPr>
          <w:szCs w:val="21"/>
          <w:u w:val="single"/>
        </w:rPr>
        <w:t xml:space="preserve">  </w:t>
      </w:r>
    </w:p>
    <w:p>
      <w:pPr>
        <w:snapToGrid w:val="0"/>
        <w:spacing w:line="300" w:lineRule="exact"/>
        <w:ind w:firstLine="525" w:firstLineChars="250"/>
        <w:rPr>
          <w:color w:val="4472C4"/>
          <w:szCs w:val="21"/>
        </w:rPr>
      </w:pPr>
      <w:r>
        <w:rPr>
          <w:rFonts w:hint="eastAsia"/>
          <w:szCs w:val="21"/>
        </w:rPr>
        <w:t>(</w:t>
      </w:r>
      <w:r>
        <w:rPr>
          <w:szCs w:val="21"/>
        </w:rPr>
        <w:t>a)</w:t>
      </w:r>
      <w:r>
        <w:rPr>
          <w:rFonts w:hint="eastAsia"/>
          <w:szCs w:val="21"/>
        </w:rPr>
        <w:t>一次支付：自供应商合同交付之日起</w:t>
      </w:r>
    </w:p>
    <w:p>
      <w:pPr>
        <w:snapToGrid w:val="0"/>
        <w:spacing w:line="300" w:lineRule="exact"/>
        <w:ind w:firstLine="525" w:firstLineChars="250"/>
        <w:rPr>
          <w:szCs w:val="21"/>
        </w:rPr>
      </w:pPr>
      <w:r>
        <w:rPr>
          <w:szCs w:val="21"/>
        </w:rPr>
        <w:t>(b)</w:t>
      </w:r>
      <w:r>
        <w:rPr>
          <w:rFonts w:hint="eastAsia"/>
          <w:szCs w:val="21"/>
        </w:rPr>
        <w:t>按进度支付：自双方确认每一阶段进度结算金额之日起</w:t>
      </w:r>
    </w:p>
    <w:p>
      <w:pPr>
        <w:snapToGrid w:val="0"/>
        <w:spacing w:line="300" w:lineRule="exact"/>
        <w:ind w:firstLine="525" w:firstLineChars="250"/>
        <w:rPr>
          <w:szCs w:val="21"/>
        </w:rPr>
      </w:pPr>
      <w:r>
        <w:rPr>
          <w:rFonts w:hint="eastAsia"/>
          <w:szCs w:val="21"/>
        </w:rPr>
        <w:t>(</w:t>
      </w:r>
      <w:r>
        <w:rPr>
          <w:szCs w:val="21"/>
        </w:rPr>
        <w:t>c)</w:t>
      </w:r>
      <w:r>
        <w:rPr>
          <w:rFonts w:hint="eastAsia"/>
          <w:szCs w:val="21"/>
        </w:rPr>
        <w:t>按合同交付后经检验或验收合格之日起，采购人拖延检验或者验收的，自约定的检验或验收期限届满之日起算。检验或验收期限为</w:t>
      </w:r>
      <w:r>
        <w:rPr>
          <w:rFonts w:hint="eastAsia"/>
          <w:szCs w:val="21"/>
          <w:u w:val="single"/>
        </w:rPr>
        <w:t xml:space="preserve">： </w:t>
      </w:r>
      <w:r>
        <w:rPr>
          <w:szCs w:val="21"/>
          <w:u w:val="single"/>
        </w:rPr>
        <w:t xml:space="preserve"> </w:t>
      </w:r>
      <w:r>
        <w:rPr>
          <w:rFonts w:hint="eastAsia"/>
          <w:szCs w:val="21"/>
          <w:u w:val="single"/>
          <w:lang w:val="en-US" w:eastAsia="zh-CN"/>
        </w:rPr>
        <w:t>/</w:t>
      </w:r>
      <w:r>
        <w:rPr>
          <w:szCs w:val="21"/>
          <w:u w:val="single"/>
        </w:rPr>
        <w:t xml:space="preserve">   </w:t>
      </w:r>
    </w:p>
    <w:p>
      <w:pPr>
        <w:snapToGrid w:val="0"/>
        <w:spacing w:line="300" w:lineRule="exact"/>
        <w:ind w:firstLine="420" w:firstLineChars="200"/>
        <w:rPr>
          <w:szCs w:val="21"/>
        </w:rPr>
      </w:pPr>
      <w:r>
        <w:rPr>
          <w:rFonts w:hint="eastAsia"/>
          <w:szCs w:val="21"/>
        </w:rPr>
        <w:t>（6）货款支付形式为：</w:t>
      </w:r>
      <w:r>
        <w:rPr>
          <w:rFonts w:hint="eastAsia"/>
          <w:szCs w:val="21"/>
          <w:u w:val="single"/>
        </w:rPr>
        <w:t xml:space="preserve"> </w:t>
      </w:r>
      <w:r>
        <w:rPr>
          <w:color w:val="auto"/>
          <w:szCs w:val="21"/>
          <w:highlight w:val="none"/>
          <w:u w:val="single"/>
        </w:rPr>
        <w:t>财政授权支付</w:t>
      </w:r>
      <w:r>
        <w:rPr>
          <w:szCs w:val="21"/>
          <w:u w:val="single"/>
        </w:rPr>
        <w:t xml:space="preserve"> </w:t>
      </w:r>
    </w:p>
    <w:p>
      <w:pPr>
        <w:snapToGrid w:val="0"/>
        <w:spacing w:line="300" w:lineRule="exact"/>
        <w:ind w:firstLine="420" w:firstLineChars="200"/>
        <w:rPr>
          <w:color w:val="4472C4"/>
          <w:szCs w:val="21"/>
        </w:rPr>
      </w:pPr>
      <w:r>
        <w:rPr>
          <w:rFonts w:hint="eastAsia"/>
          <w:color w:val="4472C4"/>
          <w:szCs w:val="21"/>
        </w:rPr>
        <w:t>（</w:t>
      </w:r>
      <w:r>
        <w:rPr>
          <w:color w:val="4472C4"/>
          <w:szCs w:val="21"/>
        </w:rPr>
        <w:t>7</w:t>
      </w:r>
      <w:r>
        <w:rPr>
          <w:rFonts w:hint="eastAsia"/>
          <w:color w:val="4472C4"/>
          <w:szCs w:val="21"/>
        </w:rPr>
        <w:t>）</w:t>
      </w:r>
      <w:r>
        <w:rPr>
          <w:color w:val="4472C4"/>
          <w:szCs w:val="21"/>
        </w:rPr>
        <w:t>本合同使用货币币制如未作特别说明均为人民币。</w:t>
      </w:r>
    </w:p>
    <w:bookmarkEnd w:id="41"/>
    <w:bookmarkEnd w:id="42"/>
    <w:p>
      <w:pPr>
        <w:snapToGrid w:val="0"/>
        <w:spacing w:line="360" w:lineRule="exact"/>
        <w:ind w:firstLine="422" w:firstLineChars="200"/>
        <w:rPr>
          <w:b/>
          <w:szCs w:val="21"/>
        </w:rPr>
      </w:pPr>
      <w:r>
        <w:rPr>
          <w:b/>
          <w:szCs w:val="21"/>
        </w:rPr>
        <w:t xml:space="preserve">第九条 </w:t>
      </w:r>
      <w:bookmarkStart w:id="43" w:name="_Hlk48144402"/>
      <w:r>
        <w:rPr>
          <w:b/>
          <w:szCs w:val="21"/>
        </w:rPr>
        <w:t>履约保证金</w:t>
      </w:r>
      <w:bookmarkStart w:id="44" w:name="_Hlk47715711"/>
      <w:r>
        <w:rPr>
          <w:rFonts w:hint="eastAsia"/>
          <w:b/>
          <w:szCs w:val="21"/>
        </w:rPr>
        <w:t>及投标保证金</w:t>
      </w:r>
      <w:r>
        <w:rPr>
          <w:b/>
          <w:szCs w:val="21"/>
        </w:rPr>
        <w:t xml:space="preserve"> </w:t>
      </w:r>
      <w:bookmarkEnd w:id="44"/>
      <w:r>
        <w:rPr>
          <w:b/>
          <w:szCs w:val="21"/>
        </w:rPr>
        <w:t xml:space="preserve">  </w:t>
      </w:r>
    </w:p>
    <w:bookmarkEnd w:id="43"/>
    <w:p>
      <w:pPr>
        <w:autoSpaceDE w:val="0"/>
        <w:autoSpaceDN w:val="0"/>
        <w:adjustRightInd w:val="0"/>
        <w:spacing w:line="320" w:lineRule="exact"/>
        <w:ind w:firstLine="420" w:firstLineChars="200"/>
        <w:jc w:val="left"/>
        <w:rPr>
          <w:rFonts w:hint="eastAsia" w:hAnsi="宋体"/>
          <w:szCs w:val="21"/>
        </w:rPr>
      </w:pPr>
      <w:r>
        <w:rPr>
          <w:rFonts w:hint="eastAsia" w:hAnsi="宋体"/>
          <w:szCs w:val="21"/>
        </w:rPr>
        <w:t>合同签订之前，乙方按合同金额的5</w:t>
      </w:r>
      <w:r>
        <w:rPr>
          <w:rFonts w:hAnsi="宋体"/>
          <w:szCs w:val="21"/>
        </w:rPr>
        <w:t>%</w:t>
      </w:r>
      <w:r>
        <w:rPr>
          <w:rFonts w:hint="eastAsia" w:hAnsi="宋体"/>
          <w:szCs w:val="21"/>
        </w:rPr>
        <w:t>向</w:t>
      </w:r>
      <w:r>
        <w:rPr>
          <w:rFonts w:hint="eastAsia" w:ascii="宋体" w:hAnsi="宋体" w:cs="宋体"/>
          <w:szCs w:val="21"/>
        </w:rPr>
        <w:t>甲方</w:t>
      </w:r>
      <w:r>
        <w:rPr>
          <w:rFonts w:hint="eastAsia" w:hAnsi="宋体"/>
          <w:szCs w:val="21"/>
        </w:rPr>
        <w:t>交纳履约保证金。乙方应按投标响应和合同约定提供相关售后服务，提供的货物在质量保修期内无质量问题，在质量保修期结束后，乙方向甲方提出办理退还申请，甲方应在收到申请相关材料后15个工作日内完成退付（无息）。履约保证金缴款账户信息：</w:t>
      </w:r>
    </w:p>
    <w:p>
      <w:pPr>
        <w:snapToGrid w:val="0"/>
        <w:spacing w:line="360" w:lineRule="exact"/>
        <w:ind w:firstLine="420" w:firstLineChars="200"/>
        <w:rPr>
          <w:rFonts w:hint="eastAsia" w:hAnsi="宋体"/>
          <w:szCs w:val="21"/>
        </w:rPr>
      </w:pPr>
      <w:r>
        <w:rPr>
          <w:rFonts w:hint="eastAsia" w:hAnsi="宋体"/>
          <w:szCs w:val="21"/>
        </w:rPr>
        <w:t>户名：南宁师范大学，开户银行：中国银行南宁市明秀东支行，账号：626257498267。</w:t>
      </w:r>
    </w:p>
    <w:p>
      <w:pPr>
        <w:snapToGrid w:val="0"/>
        <w:spacing w:line="360" w:lineRule="exact"/>
        <w:ind w:firstLine="422" w:firstLineChars="200"/>
        <w:rPr>
          <w:rFonts w:hint="eastAsia" w:ascii="宋体"/>
          <w:b/>
          <w:szCs w:val="21"/>
        </w:rPr>
      </w:pPr>
      <w:r>
        <w:rPr>
          <w:rFonts w:hint="eastAsia" w:ascii="宋体"/>
          <w:b/>
          <w:szCs w:val="21"/>
        </w:rPr>
        <w:t>第十条、税费本合同执行中相关的一切税费均由乙方负担。</w:t>
      </w:r>
    </w:p>
    <w:p>
      <w:pPr>
        <w:snapToGrid w:val="0"/>
        <w:spacing w:line="360" w:lineRule="exact"/>
        <w:ind w:firstLine="422" w:firstLineChars="200"/>
        <w:rPr>
          <w:rFonts w:hint="eastAsia" w:ascii="宋体"/>
          <w:b/>
          <w:szCs w:val="21"/>
        </w:rPr>
      </w:pPr>
      <w:r>
        <w:rPr>
          <w:rFonts w:hint="eastAsia" w:ascii="宋体"/>
          <w:b/>
          <w:szCs w:val="21"/>
        </w:rPr>
        <w:t>第十一条、质量保证及售后服务</w:t>
      </w:r>
    </w:p>
    <w:p>
      <w:pPr>
        <w:snapToGrid w:val="0"/>
        <w:spacing w:line="360" w:lineRule="exact"/>
        <w:ind w:firstLine="420" w:firstLineChars="200"/>
        <w:rPr>
          <w:rFonts w:hint="eastAsia" w:ascii="宋体"/>
          <w:szCs w:val="21"/>
        </w:rPr>
      </w:pPr>
      <w:r>
        <w:rPr>
          <w:rFonts w:hint="eastAsia" w:ascii="宋体"/>
          <w:szCs w:val="21"/>
        </w:rPr>
        <w:t>1、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按</w:t>
      </w:r>
      <w:r>
        <w:rPr>
          <w:rFonts w:hint="eastAsia" w:ascii="宋体"/>
          <w:szCs w:val="21"/>
          <w:u w:val="single"/>
        </w:rPr>
        <w:t>（3）</w:t>
      </w:r>
      <w:r>
        <w:rPr>
          <w:rFonts w:hint="eastAsia" w:ascii="宋体"/>
          <w:szCs w:val="21"/>
        </w:rPr>
        <w:t>处理：</w:t>
      </w:r>
    </w:p>
    <w:p>
      <w:pPr>
        <w:pStyle w:val="28"/>
        <w:snapToGrid w:val="0"/>
        <w:spacing w:before="120" w:after="120" w:line="360" w:lineRule="exact"/>
        <w:ind w:firstLine="420" w:firstLineChars="200"/>
        <w:rPr>
          <w:rFonts w:hint="eastAsia"/>
        </w:rPr>
      </w:pPr>
      <w:r>
        <w:rPr>
          <w:rFonts w:hint="eastAsia"/>
        </w:rPr>
        <w:t>（1）更换：由乙方承担所发生的全部费用。</w:t>
      </w:r>
    </w:p>
    <w:p>
      <w:pPr>
        <w:pStyle w:val="28"/>
        <w:snapToGrid w:val="0"/>
        <w:spacing w:before="120" w:after="120" w:line="360" w:lineRule="exact"/>
        <w:ind w:firstLine="420"/>
        <w:rPr>
          <w:rFonts w:hint="eastAsia"/>
        </w:rPr>
      </w:pPr>
      <w:r>
        <w:rPr>
          <w:rFonts w:hint="eastAsia"/>
        </w:rPr>
        <w:t>（2）贬值处理：由甲乙双方合议定价。</w:t>
      </w:r>
    </w:p>
    <w:p>
      <w:pPr>
        <w:pStyle w:val="28"/>
        <w:snapToGrid w:val="0"/>
        <w:spacing w:before="120" w:after="120" w:line="360" w:lineRule="exact"/>
        <w:ind w:left="420" w:leftChars="200"/>
        <w:rPr>
          <w:rFonts w:hint="eastAsia"/>
        </w:rPr>
      </w:pPr>
      <w:r>
        <w:rPr>
          <w:rFonts w:hint="eastAsia"/>
        </w:rPr>
        <w:t>（3）退货处理：乙方应退还甲方支付的合同款，同时应承担该货物的直接费用（运输、保险、检验、货款利息及银行手续费等）。</w:t>
      </w:r>
    </w:p>
    <w:p>
      <w:pPr>
        <w:pStyle w:val="28"/>
        <w:snapToGrid w:val="0"/>
        <w:spacing w:before="120" w:after="120" w:line="360" w:lineRule="exact"/>
        <w:ind w:firstLine="420" w:firstLineChars="200"/>
        <w:rPr>
          <w:rFonts w:hint="eastAsia"/>
        </w:rPr>
      </w:pPr>
      <w:r>
        <w:rPr>
          <w:rFonts w:hint="eastAsia"/>
        </w:rPr>
        <w:t>2、如在使用过程中发生质量问题，乙方在接到甲方通知后在</w:t>
      </w:r>
      <w:r>
        <w:rPr>
          <w:rFonts w:hint="eastAsia"/>
          <w:u w:val="single"/>
        </w:rPr>
        <w:t xml:space="preserve"> 2 </w:t>
      </w:r>
      <w:r>
        <w:rPr>
          <w:rFonts w:hint="eastAsia"/>
        </w:rPr>
        <w:t>小时内到达甲方现场。</w:t>
      </w:r>
    </w:p>
    <w:p>
      <w:pPr>
        <w:pStyle w:val="28"/>
        <w:snapToGrid w:val="0"/>
        <w:spacing w:before="120" w:after="120" w:line="360" w:lineRule="exact"/>
        <w:ind w:firstLine="420" w:firstLineChars="200"/>
        <w:rPr>
          <w:rFonts w:hint="eastAsia"/>
        </w:rPr>
      </w:pPr>
      <w:r>
        <w:rPr>
          <w:rFonts w:hint="eastAsia"/>
        </w:rPr>
        <w:t>3、在质保期内，乙方应对货物出现的质量及安全问题负责处理解决并承担一切费用。</w:t>
      </w:r>
    </w:p>
    <w:p>
      <w:pPr>
        <w:pStyle w:val="28"/>
        <w:snapToGrid w:val="0"/>
        <w:spacing w:before="120" w:after="120" w:line="360" w:lineRule="exact"/>
        <w:ind w:firstLine="420" w:firstLineChars="200"/>
        <w:rPr>
          <w:rFonts w:hint="eastAsia"/>
        </w:rPr>
      </w:pPr>
      <w:r>
        <w:rPr>
          <w:rFonts w:hint="eastAsia"/>
        </w:rPr>
        <w:t>4、上述的货物免费保修期为</w:t>
      </w:r>
      <w:r>
        <w:rPr>
          <w:rFonts w:hint="eastAsia"/>
          <w:u w:val="single"/>
        </w:rPr>
        <w:t xml:space="preserve">      </w:t>
      </w:r>
      <w:r>
        <w:rPr>
          <w:rFonts w:hint="eastAsia"/>
        </w:rPr>
        <w:t>年（服务承诺或投票响应的保修期超出此期限的，按更长保修期约定执行），因人为因素出现的故障不在免费保修范围内。超过保修期的机器设备，终生维修，维修时只收部件成本费。</w:t>
      </w:r>
    </w:p>
    <w:p>
      <w:pPr>
        <w:pStyle w:val="28"/>
        <w:snapToGrid w:val="0"/>
        <w:spacing w:before="120" w:after="120" w:line="360" w:lineRule="exact"/>
        <w:ind w:firstLine="413" w:firstLineChars="196"/>
        <w:rPr>
          <w:rFonts w:hint="eastAsia"/>
          <w:b/>
        </w:rPr>
      </w:pPr>
      <w:r>
        <w:rPr>
          <w:rFonts w:hint="eastAsia"/>
          <w:b/>
        </w:rPr>
        <w:t>第十二条、调试和验收</w:t>
      </w:r>
    </w:p>
    <w:p>
      <w:pPr>
        <w:pStyle w:val="28"/>
        <w:snapToGrid w:val="0"/>
        <w:spacing w:before="120" w:after="120" w:line="360" w:lineRule="exact"/>
        <w:ind w:firstLine="420" w:firstLineChars="200"/>
        <w:jc w:val="left"/>
        <w:rPr>
          <w:rFonts w:hint="eastAsia"/>
        </w:rPr>
      </w:pPr>
      <w:r>
        <w:rPr>
          <w:rFonts w:hint="eastAsia"/>
        </w:rPr>
        <w:t>1、甲方对乙方提交的货物依据招标文件上的技术规格要求和国家有关质量标准进行现场初步验收，外观、说明书符合招标文件技术要求的，给予签收，初步验收不合格的不予签收。</w:t>
      </w:r>
      <w:r>
        <w:rPr>
          <w:rFonts w:hint="eastAsia"/>
          <w:bCs/>
        </w:rPr>
        <w:t>安装、调试完毕</w:t>
      </w:r>
      <w:r>
        <w:rPr>
          <w:rFonts w:hint="eastAsia"/>
        </w:rPr>
        <w:t>后，</w:t>
      </w:r>
      <w:r>
        <w:rPr>
          <w:rFonts w:hint="eastAsia"/>
          <w:bCs/>
        </w:rPr>
        <w:t>甲方应当在十个工作日内进行验收</w:t>
      </w:r>
      <w:r>
        <w:rPr>
          <w:rFonts w:hint="eastAsia"/>
        </w:rPr>
        <w:t>。</w:t>
      </w:r>
    </w:p>
    <w:p>
      <w:pPr>
        <w:pStyle w:val="28"/>
        <w:snapToGrid w:val="0"/>
        <w:spacing w:before="120" w:after="120" w:line="360" w:lineRule="exact"/>
        <w:ind w:firstLine="420" w:firstLineChars="200"/>
        <w:rPr>
          <w:rFonts w:hint="eastAsia"/>
        </w:rPr>
      </w:pPr>
      <w:r>
        <w:rPr>
          <w:rFonts w:hint="eastAsia"/>
        </w:rPr>
        <w:t>2、乙方交货前应对产品作出全面检查和对验收文件进行整理，并列出清单，作为甲方收货验收和使用的技术条件依据，检验的结果应随货物交甲方。</w:t>
      </w:r>
    </w:p>
    <w:p>
      <w:pPr>
        <w:pStyle w:val="28"/>
        <w:snapToGrid w:val="0"/>
        <w:spacing w:before="120" w:after="120" w:line="360" w:lineRule="exact"/>
        <w:ind w:firstLine="420" w:firstLineChars="200"/>
        <w:rPr>
          <w:rFonts w:hint="eastAsia"/>
        </w:rPr>
      </w:pPr>
      <w:r>
        <w:rPr>
          <w:rFonts w:hint="eastAsia"/>
        </w:rPr>
        <w:t>3、甲方对乙方提供的货物在使用前进行调试时，乙方需负责安装并培训甲方的使用操作人员，并协助甲方一起调试，直到符合技术要求，甲方才做最终验收。</w:t>
      </w:r>
    </w:p>
    <w:p>
      <w:pPr>
        <w:pStyle w:val="28"/>
        <w:snapToGrid w:val="0"/>
        <w:spacing w:before="120" w:after="120" w:line="360" w:lineRule="exact"/>
        <w:ind w:firstLine="420" w:firstLineChars="200"/>
        <w:rPr>
          <w:rFonts w:hint="eastAsia"/>
          <w:u w:val="single"/>
        </w:rPr>
      </w:pPr>
      <w:r>
        <w:rPr>
          <w:rFonts w:hint="eastAsia" w:hAnsi="宋体"/>
        </w:rPr>
        <w:t>4、对技术复杂的货物，甲方应请国家认可的专业检测机构参与初步验收及最终验收，并由其出具质量检测报告，检测相关费用由</w:t>
      </w:r>
      <w:r>
        <w:rPr>
          <w:rFonts w:hint="eastAsia" w:hAnsi="宋体"/>
          <w:u w:val="single"/>
        </w:rPr>
        <w:t xml:space="preserve"> 甲 </w:t>
      </w:r>
      <w:r>
        <w:rPr>
          <w:rFonts w:hint="eastAsia" w:hAnsi="宋体"/>
        </w:rPr>
        <w:t>方承担。</w:t>
      </w:r>
    </w:p>
    <w:p>
      <w:pPr>
        <w:pStyle w:val="28"/>
        <w:snapToGrid w:val="0"/>
        <w:spacing w:before="120" w:after="120" w:line="360" w:lineRule="exact"/>
        <w:ind w:firstLine="420" w:firstLineChars="200"/>
        <w:rPr>
          <w:rFonts w:hint="eastAsia"/>
        </w:rPr>
      </w:pPr>
      <w:r>
        <w:rPr>
          <w:rFonts w:hint="eastAsia"/>
        </w:rPr>
        <w:t>5、验收时乙方必须在现场，验收完毕后作出验收结果报告。</w:t>
      </w:r>
    </w:p>
    <w:p>
      <w:pPr>
        <w:pStyle w:val="28"/>
        <w:snapToGrid w:val="0"/>
        <w:spacing w:before="120" w:after="120" w:line="360" w:lineRule="exact"/>
        <w:ind w:firstLine="413" w:firstLineChars="196"/>
        <w:rPr>
          <w:rFonts w:hint="eastAsia"/>
          <w:b/>
        </w:rPr>
      </w:pPr>
      <w:r>
        <w:rPr>
          <w:rFonts w:hint="eastAsia"/>
          <w:b/>
        </w:rPr>
        <w:t>第十三条、货物包装、发运及运输</w:t>
      </w:r>
    </w:p>
    <w:p>
      <w:pPr>
        <w:pStyle w:val="28"/>
        <w:snapToGrid w:val="0"/>
        <w:spacing w:before="120" w:after="120" w:line="360" w:lineRule="exact"/>
        <w:ind w:left="420" w:leftChars="200"/>
        <w:rPr>
          <w:rFonts w:hint="eastAsia"/>
        </w:rPr>
      </w:pPr>
      <w:r>
        <w:rPr>
          <w:rFonts w:hint="eastAsia"/>
        </w:rPr>
        <w:t>1、乙方应在货物发运前对其进行满足运输距离、防潮、防震、防锈和防破损装卸等要求包装，以保证货物安全运达甲方指定地点。</w:t>
      </w:r>
    </w:p>
    <w:p>
      <w:pPr>
        <w:pStyle w:val="28"/>
        <w:snapToGrid w:val="0"/>
        <w:spacing w:before="120" w:after="120" w:line="360" w:lineRule="exact"/>
        <w:ind w:left="420" w:leftChars="200"/>
        <w:rPr>
          <w:rFonts w:hint="eastAsia"/>
        </w:rPr>
      </w:pPr>
      <w:r>
        <w:rPr>
          <w:rFonts w:hint="eastAsia"/>
        </w:rPr>
        <w:t>2、使用说明书、质量检验证明书、随配附件和工具以及清单一并附于货物内。</w:t>
      </w:r>
    </w:p>
    <w:p>
      <w:pPr>
        <w:pStyle w:val="28"/>
        <w:snapToGrid w:val="0"/>
        <w:spacing w:before="120" w:after="120" w:line="360" w:lineRule="exact"/>
        <w:ind w:left="420" w:leftChars="200"/>
        <w:rPr>
          <w:rFonts w:hint="eastAsia"/>
        </w:rPr>
      </w:pPr>
      <w:r>
        <w:rPr>
          <w:rFonts w:hint="eastAsia"/>
        </w:rPr>
        <w:t>3、乙方在货物发运手续办理完毕后二十四小时内或货到甲方四十八小时前通知甲方，以准备接货。</w:t>
      </w:r>
    </w:p>
    <w:p>
      <w:pPr>
        <w:pStyle w:val="28"/>
        <w:snapToGrid w:val="0"/>
        <w:spacing w:before="120" w:after="120" w:line="360" w:lineRule="exact"/>
        <w:ind w:left="420" w:leftChars="200"/>
        <w:rPr>
          <w:rFonts w:hint="eastAsia"/>
        </w:rPr>
      </w:pPr>
      <w:r>
        <w:rPr>
          <w:rFonts w:hint="eastAsia"/>
        </w:rPr>
        <w:t>4、货物在交付甲方前发生的风险均由乙方负责。</w:t>
      </w:r>
    </w:p>
    <w:p>
      <w:pPr>
        <w:pStyle w:val="28"/>
        <w:snapToGrid w:val="0"/>
        <w:spacing w:line="360" w:lineRule="exact"/>
        <w:ind w:left="420" w:leftChars="200" w:right="26"/>
        <w:jc w:val="distribute"/>
        <w:rPr>
          <w:rFonts w:hint="eastAsia"/>
          <w:spacing w:val="-8"/>
        </w:rPr>
      </w:pPr>
      <w:r>
        <w:rPr>
          <w:rFonts w:hint="eastAsia"/>
        </w:rPr>
        <w:t>5、货</w:t>
      </w:r>
      <w:r>
        <w:rPr>
          <w:rFonts w:hint="eastAsia"/>
          <w:spacing w:val="-8"/>
        </w:rPr>
        <w:t>物在规定的交付期限内由乙方送达甲方指定的地点视为交付，乙方同时需通知甲方货物已送达。</w:t>
      </w:r>
    </w:p>
    <w:p>
      <w:pPr>
        <w:snapToGrid w:val="0"/>
        <w:spacing w:line="360" w:lineRule="exact"/>
        <w:ind w:firstLine="422" w:firstLineChars="200"/>
        <w:rPr>
          <w:rFonts w:hint="eastAsia" w:ascii="宋体"/>
          <w:b/>
          <w:szCs w:val="21"/>
        </w:rPr>
      </w:pPr>
      <w:r>
        <w:rPr>
          <w:rFonts w:hint="eastAsia" w:ascii="宋体"/>
          <w:b/>
          <w:szCs w:val="21"/>
        </w:rPr>
        <w:t>第十四条　违约责任</w:t>
      </w:r>
    </w:p>
    <w:p>
      <w:pPr>
        <w:snapToGrid w:val="0"/>
        <w:spacing w:line="360" w:lineRule="exact"/>
        <w:ind w:firstLine="525" w:firstLineChars="250"/>
        <w:rPr>
          <w:rFonts w:hint="eastAsia"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firstLine="472" w:firstLineChars="225"/>
        <w:rPr>
          <w:rFonts w:hint="eastAsia"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60" w:lineRule="exact"/>
        <w:ind w:firstLine="420" w:firstLineChars="200"/>
        <w:rPr>
          <w:rFonts w:hint="eastAsia" w:ascii="宋体"/>
          <w:szCs w:val="21"/>
        </w:rPr>
      </w:pPr>
      <w:r>
        <w:rPr>
          <w:rFonts w:hint="eastAsia" w:ascii="宋体"/>
          <w:szCs w:val="21"/>
        </w:rPr>
        <w:t>3、因包装、运输引起的货物损坏，按质量不合格处罚。</w:t>
      </w:r>
    </w:p>
    <w:p>
      <w:pPr>
        <w:snapToGrid w:val="0"/>
        <w:spacing w:line="360" w:lineRule="exact"/>
        <w:ind w:firstLine="420" w:firstLineChars="200"/>
        <w:rPr>
          <w:rFonts w:hint="eastAsia" w:ascii="宋体"/>
          <w:szCs w:val="21"/>
        </w:rPr>
      </w:pPr>
      <w:r>
        <w:rPr>
          <w:rFonts w:hint="eastAsia" w:ascii="宋体"/>
          <w:szCs w:val="21"/>
        </w:rPr>
        <w:t>4、乙方逾期交货的，每天向甲方偿付违约货款额3‰违约金，但违约金累计不得超过违约货款额</w:t>
      </w:r>
      <w:r>
        <w:rPr>
          <w:rFonts w:hint="eastAsia" w:ascii="宋体"/>
          <w:szCs w:val="21"/>
          <w:u w:val="single"/>
        </w:rPr>
        <w:t>5%</w:t>
      </w:r>
      <w:r>
        <w:rPr>
          <w:rFonts w:hint="eastAsia" w:ascii="宋体"/>
          <w:szCs w:val="21"/>
        </w:rPr>
        <w:t>，超过</w:t>
      </w:r>
      <w:r>
        <w:rPr>
          <w:rFonts w:hint="eastAsia" w:ascii="宋体"/>
          <w:szCs w:val="21"/>
          <w:u w:val="single"/>
        </w:rPr>
        <w:t xml:space="preserve"> 20 </w:t>
      </w:r>
      <w:r>
        <w:rPr>
          <w:rFonts w:hint="eastAsia" w:ascii="宋体"/>
          <w:szCs w:val="21"/>
        </w:rPr>
        <w:t>天对方有权解除合同，违约方承担因此给对方造成经济损失；甲方延期付货款的，每天向乙方偿付延期货款额</w:t>
      </w:r>
      <w:r>
        <w:rPr>
          <w:rFonts w:hint="eastAsia" w:ascii="宋体"/>
          <w:szCs w:val="21"/>
          <w:u w:val="single"/>
        </w:rPr>
        <w:t xml:space="preserve">3‰ </w:t>
      </w:r>
      <w:r>
        <w:rPr>
          <w:rFonts w:hint="eastAsia" w:ascii="宋体"/>
          <w:szCs w:val="21"/>
        </w:rPr>
        <w:t>滞纳金，但滞纳金累计不得超过延期货款额</w:t>
      </w:r>
      <w:r>
        <w:rPr>
          <w:rFonts w:hint="eastAsia" w:ascii="宋体"/>
          <w:szCs w:val="21"/>
          <w:u w:val="single"/>
        </w:rPr>
        <w:t>5%</w:t>
      </w:r>
      <w:r>
        <w:rPr>
          <w:rFonts w:hint="eastAsia" w:ascii="宋体"/>
          <w:szCs w:val="21"/>
        </w:rPr>
        <w:t>。</w:t>
      </w:r>
    </w:p>
    <w:p>
      <w:pPr>
        <w:snapToGrid w:val="0"/>
        <w:spacing w:line="360" w:lineRule="exact"/>
        <w:ind w:firstLine="420" w:firstLineChars="200"/>
        <w:rPr>
          <w:rFonts w:hint="eastAsia"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60" w:lineRule="exact"/>
        <w:ind w:firstLine="420" w:firstLineChars="200"/>
        <w:rPr>
          <w:rFonts w:hint="eastAsia" w:ascii="宋体"/>
          <w:szCs w:val="21"/>
        </w:rPr>
      </w:pPr>
      <w:r>
        <w:rPr>
          <w:rFonts w:hint="eastAsia" w:ascii="宋体"/>
          <w:szCs w:val="21"/>
        </w:rPr>
        <w:t>6、乙方提供的货物在质量保修期内，因设计、工艺或材料的缺陷和其它质量原因造成的问题，由乙方负责，费用从履约保证金中扣除，不足另补。</w:t>
      </w:r>
    </w:p>
    <w:p>
      <w:pPr>
        <w:snapToGrid w:val="0"/>
        <w:spacing w:line="360" w:lineRule="exact"/>
        <w:ind w:firstLine="420" w:firstLineChars="200"/>
        <w:rPr>
          <w:rFonts w:hint="eastAsia" w:ascii="宋体"/>
          <w:szCs w:val="21"/>
        </w:rPr>
      </w:pPr>
      <w:r>
        <w:rPr>
          <w:rFonts w:hint="eastAsia" w:ascii="宋体"/>
          <w:szCs w:val="21"/>
        </w:rPr>
        <w:t>7、其它违约行为按违约货款额5%收取违约金并赔偿经济损失。</w:t>
      </w:r>
    </w:p>
    <w:p>
      <w:pPr>
        <w:pStyle w:val="28"/>
        <w:snapToGrid w:val="0"/>
        <w:spacing w:before="120" w:after="120" w:line="360" w:lineRule="exact"/>
        <w:ind w:firstLine="413" w:firstLineChars="196"/>
        <w:rPr>
          <w:rFonts w:hint="eastAsia"/>
          <w:b/>
        </w:rPr>
      </w:pPr>
      <w:r>
        <w:rPr>
          <w:rFonts w:hint="eastAsia"/>
          <w:b/>
        </w:rPr>
        <w:t>第十五条、不可抗力事件处理</w:t>
      </w:r>
    </w:p>
    <w:p>
      <w:pPr>
        <w:pStyle w:val="28"/>
        <w:snapToGrid w:val="0"/>
        <w:spacing w:before="120" w:after="120" w:line="360" w:lineRule="exact"/>
        <w:ind w:firstLine="420" w:firstLineChars="200"/>
        <w:rPr>
          <w:rFonts w:hint="eastAsia"/>
        </w:rPr>
      </w:pPr>
      <w:r>
        <w:rPr>
          <w:rFonts w:hint="eastAsia"/>
        </w:rPr>
        <w:t>1、在合同有效期内，任何一方因不可抗力事件导致不能履行合同，则合同履行期可延长，其延长期与不可抗力影响期相同。</w:t>
      </w:r>
    </w:p>
    <w:p>
      <w:pPr>
        <w:pStyle w:val="28"/>
        <w:snapToGrid w:val="0"/>
        <w:spacing w:before="120" w:after="120" w:line="360" w:lineRule="exact"/>
        <w:ind w:firstLine="420" w:firstLineChars="200"/>
        <w:rPr>
          <w:rFonts w:hint="eastAsia"/>
        </w:rPr>
      </w:pPr>
      <w:r>
        <w:rPr>
          <w:rFonts w:hint="eastAsia"/>
        </w:rPr>
        <w:t>2、不可抗力事件发生后，应立即通知对方，并寄送有关权威机构出具的证明。</w:t>
      </w:r>
    </w:p>
    <w:p>
      <w:pPr>
        <w:pStyle w:val="28"/>
        <w:snapToGrid w:val="0"/>
        <w:spacing w:before="120" w:after="120" w:line="360" w:lineRule="exact"/>
        <w:ind w:firstLine="420" w:firstLineChars="200"/>
        <w:rPr>
          <w:rFonts w:hint="eastAsia"/>
        </w:rPr>
      </w:pPr>
      <w:r>
        <w:rPr>
          <w:rFonts w:hint="eastAsia"/>
        </w:rPr>
        <w:t>3、不可抗力事件延续一百二十天以上，双方应通过友好协商，确定是否继续履行合同。</w:t>
      </w:r>
    </w:p>
    <w:p>
      <w:pPr>
        <w:snapToGrid w:val="0"/>
        <w:spacing w:line="360" w:lineRule="exact"/>
        <w:ind w:firstLine="422" w:firstLineChars="200"/>
        <w:rPr>
          <w:rFonts w:hint="eastAsia" w:ascii="宋体"/>
          <w:szCs w:val="21"/>
        </w:rPr>
      </w:pPr>
      <w:r>
        <w:rPr>
          <w:rFonts w:hint="eastAsia" w:ascii="宋体"/>
          <w:b/>
          <w:szCs w:val="21"/>
        </w:rPr>
        <w:t>第十六条  合同争议解决</w:t>
      </w:r>
    </w:p>
    <w:p>
      <w:pPr>
        <w:snapToGrid w:val="0"/>
        <w:spacing w:line="360" w:lineRule="exact"/>
        <w:ind w:firstLine="420" w:firstLineChars="200"/>
        <w:rPr>
          <w:rFonts w:hint="eastAsia" w:ascii="宋体"/>
          <w:szCs w:val="21"/>
        </w:rPr>
      </w:pPr>
      <w:r>
        <w:rPr>
          <w:rFonts w:hint="eastAsia" w:ascii="宋体"/>
          <w:szCs w:val="21"/>
        </w:rPr>
        <w:t>1、因货物质量问题发生争议的，可邀请国家认可的质量检测机构对货物质量进行鉴定。货物符合标准的，鉴定费由甲方承担；货物不符合标准的，鉴定费由乙方承担。</w:t>
      </w:r>
    </w:p>
    <w:p>
      <w:pPr>
        <w:snapToGrid w:val="0"/>
        <w:spacing w:line="360" w:lineRule="exact"/>
        <w:ind w:firstLine="420" w:firstLineChars="200"/>
        <w:rPr>
          <w:rFonts w:hint="eastAsia" w:ascii="宋体"/>
          <w:szCs w:val="21"/>
        </w:rPr>
      </w:pPr>
      <w:r>
        <w:rPr>
          <w:rFonts w:hint="eastAsia" w:ascii="宋体"/>
          <w:szCs w:val="21"/>
        </w:rPr>
        <w:t>2、因履行本合同引起的或与本合同有关的争议，甲乙双方应首先通过友好协商解决，如果协商不能解决，应向甲方所在地人民法院提起诉讼。</w:t>
      </w:r>
    </w:p>
    <w:p>
      <w:pPr>
        <w:snapToGrid w:val="0"/>
        <w:spacing w:line="360" w:lineRule="exact"/>
        <w:ind w:firstLine="420" w:firstLineChars="200"/>
        <w:rPr>
          <w:rFonts w:hint="eastAsia" w:ascii="宋体"/>
          <w:szCs w:val="21"/>
        </w:rPr>
      </w:pPr>
      <w:r>
        <w:rPr>
          <w:rFonts w:hint="eastAsia" w:ascii="宋体"/>
          <w:szCs w:val="21"/>
        </w:rPr>
        <w:t>3、诉讼期间，本合同继续履行。</w:t>
      </w:r>
    </w:p>
    <w:p>
      <w:pPr>
        <w:pStyle w:val="28"/>
        <w:snapToGrid w:val="0"/>
        <w:spacing w:before="120" w:after="120" w:line="360" w:lineRule="exact"/>
        <w:ind w:firstLine="413" w:firstLineChars="196"/>
        <w:rPr>
          <w:rFonts w:hint="eastAsia"/>
          <w:b/>
        </w:rPr>
      </w:pPr>
      <w:r>
        <w:rPr>
          <w:rFonts w:hint="eastAsia"/>
          <w:b/>
        </w:rPr>
        <w:t>第十七条、诉讼</w:t>
      </w:r>
    </w:p>
    <w:p>
      <w:pPr>
        <w:snapToGrid w:val="0"/>
        <w:spacing w:line="360" w:lineRule="exact"/>
        <w:ind w:firstLine="420" w:firstLineChars="200"/>
        <w:rPr>
          <w:rFonts w:hint="eastAsia" w:ascii="宋体"/>
          <w:szCs w:val="21"/>
        </w:rPr>
      </w:pPr>
      <w:r>
        <w:rPr>
          <w:rFonts w:hint="eastAsia"/>
          <w:szCs w:val="21"/>
        </w:rPr>
        <w:t xml:space="preserve">  双方在执行合同中所发生的一切争议，应通过协商解决。如果协商不能解决，应向甲方所在地人民法院提起诉讼。</w:t>
      </w:r>
      <w:r>
        <w:rPr>
          <w:rFonts w:ascii="宋体"/>
          <w:szCs w:val="21"/>
        </w:rPr>
        <w:t>包括但不限于案件受理费、调查取证、鉴定费、差旅费、律师费等由败诉方承担。</w:t>
      </w:r>
    </w:p>
    <w:p>
      <w:pPr>
        <w:pStyle w:val="28"/>
        <w:snapToGrid w:val="0"/>
        <w:spacing w:before="120" w:after="120" w:line="360" w:lineRule="exact"/>
        <w:ind w:left="561" w:leftChars="267"/>
        <w:rPr>
          <w:rFonts w:hint="eastAsia"/>
          <w:b/>
        </w:rPr>
      </w:pPr>
      <w:r>
        <w:rPr>
          <w:rFonts w:hint="eastAsia"/>
          <w:b/>
        </w:rPr>
        <w:t>第十八条、合同生效及其它</w:t>
      </w:r>
    </w:p>
    <w:p>
      <w:pPr>
        <w:pStyle w:val="28"/>
        <w:snapToGrid w:val="0"/>
        <w:spacing w:before="120" w:after="120" w:line="360" w:lineRule="exact"/>
        <w:ind w:left="561" w:leftChars="267"/>
        <w:rPr>
          <w:rFonts w:hint="eastAsia"/>
          <w:b/>
        </w:rPr>
      </w:pPr>
      <w:r>
        <w:rPr>
          <w:rFonts w:hint="eastAsia"/>
          <w:b/>
        </w:rPr>
        <w:t>1、合同经双方法定代表人或授权代表签字并加盖单位公章后生效。</w:t>
      </w:r>
    </w:p>
    <w:p>
      <w:pPr>
        <w:pStyle w:val="28"/>
        <w:snapToGrid w:val="0"/>
        <w:spacing w:before="120" w:after="120" w:line="360" w:lineRule="exact"/>
        <w:ind w:left="561" w:leftChars="267"/>
        <w:rPr>
          <w:rFonts w:hint="eastAsia"/>
          <w:b/>
        </w:rPr>
      </w:pPr>
      <w:r>
        <w:rPr>
          <w:rFonts w:hint="eastAsia"/>
          <w:b/>
        </w:rPr>
        <w:t>2、合同执行中涉及采购资金和采购内容修改或补充的，须经财政部门审批，并签书面补充协议报财政部门备案，方可作为主合同不可分割的一部分。</w:t>
      </w:r>
    </w:p>
    <w:p>
      <w:pPr>
        <w:pStyle w:val="28"/>
        <w:snapToGrid w:val="0"/>
        <w:spacing w:before="120" w:after="120" w:line="360" w:lineRule="exact"/>
        <w:ind w:left="561" w:leftChars="267"/>
        <w:rPr>
          <w:rFonts w:hint="eastAsia"/>
          <w:b/>
        </w:rPr>
      </w:pPr>
      <w:r>
        <w:rPr>
          <w:rFonts w:hint="eastAsia"/>
          <w:b/>
        </w:rPr>
        <w:t>3、本合同未尽事宜，遵照《合同法》有关条文执行。</w:t>
      </w:r>
    </w:p>
    <w:p>
      <w:pPr>
        <w:pStyle w:val="28"/>
        <w:snapToGrid w:val="0"/>
        <w:spacing w:before="120" w:after="120" w:line="360" w:lineRule="exact"/>
        <w:ind w:left="561" w:leftChars="267"/>
        <w:rPr>
          <w:rFonts w:hint="eastAsia"/>
          <w:b/>
        </w:rPr>
      </w:pPr>
      <w:r>
        <w:rPr>
          <w:rFonts w:hint="eastAsia" w:hAnsi="宋体"/>
        </w:rPr>
        <w:t>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60" w:lineRule="exact"/>
        <w:ind w:firstLine="422" w:firstLineChars="200"/>
        <w:rPr>
          <w:rFonts w:hint="eastAsia" w:ascii="宋体"/>
          <w:b/>
          <w:szCs w:val="21"/>
        </w:rPr>
      </w:pPr>
      <w:r>
        <w:rPr>
          <w:rFonts w:hint="eastAsia" w:ascii="宋体"/>
          <w:b/>
          <w:szCs w:val="21"/>
        </w:rPr>
        <w:t>第十九条　合同的变更、终止与转让</w:t>
      </w:r>
    </w:p>
    <w:p>
      <w:pPr>
        <w:snapToGrid w:val="0"/>
        <w:spacing w:line="360" w:lineRule="exact"/>
        <w:ind w:firstLine="420" w:firstLineChars="200"/>
        <w:rPr>
          <w:rFonts w:hint="eastAsia" w:ascii="宋体"/>
          <w:szCs w:val="21"/>
        </w:rPr>
      </w:pPr>
      <w:r>
        <w:rPr>
          <w:rFonts w:hint="eastAsia" w:ascii="宋体"/>
          <w:szCs w:val="21"/>
        </w:rPr>
        <w:t>1、除《中华人民共和国政府采购法》第五十条规定的情形外，本合同一经签订，甲乙双方不得擅自变更、中止或终止。</w:t>
      </w:r>
    </w:p>
    <w:p>
      <w:pPr>
        <w:pStyle w:val="28"/>
        <w:snapToGrid w:val="0"/>
        <w:spacing w:before="120" w:after="120" w:line="360" w:lineRule="exact"/>
        <w:ind w:firstLine="411" w:firstLineChars="196"/>
        <w:rPr>
          <w:rFonts w:hint="eastAsia"/>
          <w:b/>
        </w:rPr>
      </w:pPr>
      <w:r>
        <w:rPr>
          <w:rFonts w:hint="eastAsia"/>
        </w:rPr>
        <w:t>2、乙方不得擅自转让（无进口资格的供应商委托进口货物除外）其应履行的合同义务。</w:t>
      </w:r>
    </w:p>
    <w:p>
      <w:pPr>
        <w:snapToGrid w:val="0"/>
        <w:spacing w:line="360" w:lineRule="exact"/>
        <w:ind w:firstLine="422" w:firstLineChars="200"/>
        <w:rPr>
          <w:rFonts w:hint="eastAsia" w:ascii="宋体"/>
          <w:b/>
          <w:szCs w:val="21"/>
        </w:rPr>
      </w:pPr>
      <w:r>
        <w:rPr>
          <w:rFonts w:hint="eastAsia" w:ascii="宋体"/>
          <w:b/>
          <w:szCs w:val="21"/>
        </w:rPr>
        <w:t>第二十条　签订本合同依据</w:t>
      </w:r>
    </w:p>
    <w:p>
      <w:pPr>
        <w:snapToGrid w:val="0"/>
        <w:spacing w:line="360" w:lineRule="exact"/>
        <w:ind w:firstLine="420" w:firstLineChars="200"/>
        <w:rPr>
          <w:rFonts w:hint="eastAsia" w:ascii="宋体"/>
          <w:szCs w:val="21"/>
        </w:rPr>
      </w:pPr>
      <w:r>
        <w:rPr>
          <w:rFonts w:hint="eastAsia" w:ascii="宋体"/>
          <w:szCs w:val="21"/>
        </w:rPr>
        <w:t>1、政府采购招标文件；</w:t>
      </w:r>
    </w:p>
    <w:p>
      <w:pPr>
        <w:snapToGrid w:val="0"/>
        <w:spacing w:line="360" w:lineRule="exact"/>
        <w:ind w:firstLine="420" w:firstLineChars="200"/>
        <w:rPr>
          <w:rFonts w:hint="eastAsia" w:ascii="宋体"/>
          <w:szCs w:val="21"/>
        </w:rPr>
      </w:pPr>
      <w:r>
        <w:rPr>
          <w:rFonts w:hint="eastAsia" w:ascii="宋体"/>
          <w:szCs w:val="21"/>
        </w:rPr>
        <w:t>2、乙方提供的投标文件；</w:t>
      </w:r>
    </w:p>
    <w:p>
      <w:pPr>
        <w:snapToGrid w:val="0"/>
        <w:spacing w:line="360" w:lineRule="exact"/>
        <w:ind w:firstLine="420" w:firstLineChars="200"/>
        <w:rPr>
          <w:rFonts w:hint="eastAsia" w:ascii="宋体"/>
          <w:szCs w:val="21"/>
        </w:rPr>
      </w:pPr>
      <w:r>
        <w:rPr>
          <w:rFonts w:hint="eastAsia" w:ascii="宋体"/>
          <w:szCs w:val="21"/>
        </w:rPr>
        <w:t>3、投标承诺书；</w:t>
      </w:r>
    </w:p>
    <w:p>
      <w:pPr>
        <w:snapToGrid w:val="0"/>
        <w:spacing w:line="360" w:lineRule="exact"/>
        <w:ind w:firstLine="420" w:firstLineChars="200"/>
        <w:rPr>
          <w:rFonts w:hint="eastAsia" w:ascii="宋体"/>
          <w:szCs w:val="21"/>
          <w:u w:val="single"/>
        </w:rPr>
      </w:pPr>
      <w:r>
        <w:rPr>
          <w:rFonts w:hint="eastAsia" w:ascii="宋体"/>
          <w:szCs w:val="21"/>
        </w:rPr>
        <w:t>4、中标通知书。</w:t>
      </w:r>
    </w:p>
    <w:p>
      <w:pPr>
        <w:snapToGrid w:val="0"/>
        <w:spacing w:line="360" w:lineRule="exact"/>
        <w:ind w:firstLine="422" w:firstLineChars="200"/>
        <w:rPr>
          <w:rFonts w:hint="eastAsia" w:ascii="宋体"/>
          <w:szCs w:val="21"/>
        </w:rPr>
      </w:pPr>
      <w:r>
        <w:rPr>
          <w:rFonts w:hint="eastAsia" w:ascii="宋体"/>
          <w:b/>
          <w:szCs w:val="21"/>
        </w:rPr>
        <w:t>第二十一条　</w:t>
      </w:r>
      <w:r>
        <w:rPr>
          <w:rFonts w:hint="eastAsia" w:ascii="宋体"/>
          <w:szCs w:val="21"/>
        </w:rPr>
        <w:t>本合同一式六份，均具有同等法律效力。</w:t>
      </w:r>
      <w:r>
        <w:rPr>
          <w:rFonts w:hint="eastAsia" w:ascii="宋体"/>
          <w:spacing w:val="4"/>
          <w:szCs w:val="21"/>
        </w:rPr>
        <w:t>广西壮族自治区财政厅政府采购监督管理处、采购代理机构各一份</w:t>
      </w:r>
      <w:r>
        <w:rPr>
          <w:rFonts w:hint="eastAsia" w:ascii="宋体"/>
          <w:szCs w:val="21"/>
        </w:rPr>
        <w:t>，甲方三份，乙方一份。</w:t>
      </w:r>
    </w:p>
    <w:p>
      <w:pPr>
        <w:snapToGrid w:val="0"/>
        <w:spacing w:line="360" w:lineRule="exact"/>
        <w:ind w:firstLine="420" w:firstLineChars="200"/>
        <w:rPr>
          <w:rFonts w:hint="eastAsia" w:ascii="宋体"/>
          <w:szCs w:val="21"/>
        </w:rPr>
      </w:pPr>
      <w:r>
        <w:rPr>
          <w:rFonts w:hint="eastAsia" w:ascii="宋体"/>
          <w:szCs w:val="21"/>
        </w:rPr>
        <w:t>本合同甲乙双方签字盖章后生效，自签订之日起七个工作日内，采购人或采购代理机构应当将合同副本报</w:t>
      </w:r>
      <w:r>
        <w:rPr>
          <w:rFonts w:hint="eastAsia" w:ascii="宋体"/>
          <w:spacing w:val="4"/>
          <w:szCs w:val="21"/>
        </w:rPr>
        <w:t>广西壮族自治区财政厅政府采购监督管理处</w:t>
      </w:r>
      <w:r>
        <w:rPr>
          <w:rFonts w:hint="eastAsia" w:ascii="宋体"/>
          <w:szCs w:val="21"/>
        </w:rPr>
        <w:t>备案。</w:t>
      </w:r>
    </w:p>
    <w:p>
      <w:pPr>
        <w:snapToGrid w:val="0"/>
        <w:spacing w:line="360" w:lineRule="exact"/>
        <w:ind w:firstLine="420" w:firstLineChars="200"/>
        <w:rPr>
          <w:rFonts w:hint="eastAsia" w:ascii="宋体"/>
          <w:szCs w:val="21"/>
        </w:rPr>
      </w:pPr>
    </w:p>
    <w:tbl>
      <w:tblPr>
        <w:tblStyle w:val="5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szCs w:val="21"/>
              </w:rPr>
            </w:pPr>
            <w:r>
              <w:rPr>
                <w:rFonts w:hint="eastAsia" w:ascii="宋体"/>
                <w:szCs w:val="21"/>
              </w:rPr>
              <w:t xml:space="preserve">甲方（章）           </w:t>
            </w:r>
          </w:p>
          <w:p>
            <w:pPr>
              <w:snapToGrid w:val="0"/>
              <w:spacing w:line="360" w:lineRule="exact"/>
              <w:ind w:firstLine="945" w:firstLineChars="450"/>
              <w:jc w:val="right"/>
              <w:rPr>
                <w:rFonts w:hint="eastAsia"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szCs w:val="21"/>
              </w:rPr>
            </w:pPr>
            <w:r>
              <w:rPr>
                <w:rFonts w:hint="eastAsia" w:ascii="宋体"/>
                <w:szCs w:val="21"/>
              </w:rPr>
              <w:t xml:space="preserve">乙方（章）             </w:t>
            </w:r>
          </w:p>
          <w:p>
            <w:pPr>
              <w:snapToGrid w:val="0"/>
              <w:spacing w:line="360" w:lineRule="exact"/>
              <w:jc w:val="right"/>
              <w:rPr>
                <w:rFonts w:hint="eastAsia"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rPr>
            </w:pPr>
            <w:r>
              <w:rPr>
                <w:rFonts w:hint="eastAsia" w:ascii="宋体" w:hAnsi="宋体"/>
                <w:szCs w:val="21"/>
              </w:rPr>
              <w:t>通讯地址：南宁市明秀东路175号</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szCs w:val="21"/>
              </w:rPr>
            </w:pPr>
            <w:r>
              <w:rPr>
                <w:rFonts w:hint="eastAsia" w:ascii="宋体"/>
                <w:szCs w:val="21"/>
              </w:rPr>
              <w:t>电话：0771-3908051</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szCs w:val="21"/>
              </w:rPr>
            </w:pPr>
            <w:r>
              <w:rPr>
                <w:rFonts w:hint="eastAsia" w:ascii="宋体"/>
                <w:szCs w:val="21"/>
              </w:rPr>
              <w:t>开户银行：中国银行南宁市明秀东支行</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szCs w:val="21"/>
              </w:rPr>
            </w:pPr>
            <w:r>
              <w:rPr>
                <w:rFonts w:hint="eastAsia" w:ascii="宋体"/>
                <w:szCs w:val="21"/>
              </w:rPr>
              <w:t>账号：6262 5749 8267</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szCs w:val="21"/>
              </w:rPr>
            </w:pPr>
            <w:r>
              <w:rPr>
                <w:rFonts w:hint="eastAsia" w:ascii="宋体"/>
                <w:szCs w:val="21"/>
              </w:rPr>
              <w:t>邮政编码：530001</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hint="eastAsia" w:ascii="宋体"/>
                <w:szCs w:val="21"/>
              </w:rPr>
            </w:pPr>
            <w:r>
              <w:rPr>
                <w:rFonts w:hint="eastAsia" w:ascii="宋体"/>
                <w:szCs w:val="21"/>
              </w:rPr>
              <w:t>经办人：</w:t>
            </w:r>
          </w:p>
          <w:p>
            <w:pPr>
              <w:snapToGrid w:val="0"/>
              <w:spacing w:line="360" w:lineRule="exact"/>
              <w:ind w:firstLine="630" w:firstLineChars="300"/>
              <w:jc w:val="right"/>
              <w:rPr>
                <w:rFonts w:hint="eastAsia" w:ascii="宋体"/>
                <w:szCs w:val="21"/>
              </w:rPr>
            </w:pPr>
            <w:r>
              <w:rPr>
                <w:rFonts w:hint="eastAsia" w:ascii="宋体"/>
                <w:szCs w:val="21"/>
              </w:rPr>
              <w:t>年    月    日</w:t>
            </w:r>
          </w:p>
        </w:tc>
      </w:tr>
    </w:tbl>
    <w:p>
      <w:pPr>
        <w:spacing w:before="120" w:line="320" w:lineRule="atLeast"/>
        <w:jc w:val="left"/>
        <w:outlineLvl w:val="1"/>
        <w:rPr>
          <w:b/>
          <w:bCs/>
          <w:kern w:val="0"/>
          <w:szCs w:val="21"/>
        </w:rPr>
      </w:pPr>
      <w:r>
        <w:rPr>
          <w:szCs w:val="21"/>
        </w:rPr>
        <w:br w:type="page"/>
      </w:r>
      <w:r>
        <w:rPr>
          <w:b/>
          <w:bCs/>
          <w:kern w:val="0"/>
          <w:szCs w:val="21"/>
        </w:rPr>
        <w:t>合同附件1</w:t>
      </w:r>
    </w:p>
    <w:p>
      <w:pPr>
        <w:snapToGrid w:val="0"/>
        <w:spacing w:line="360" w:lineRule="exact"/>
        <w:jc w:val="center"/>
        <w:rPr>
          <w:rFonts w:hint="eastAsia" w:ascii="宋体"/>
          <w:b/>
          <w:sz w:val="28"/>
          <w:szCs w:val="28"/>
        </w:rPr>
      </w:pPr>
      <w:r>
        <w:rPr>
          <w:rFonts w:hint="eastAsia" w:ascii="宋体"/>
          <w:b/>
          <w:sz w:val="28"/>
          <w:szCs w:val="28"/>
        </w:rPr>
        <w:t>合 同 附 件</w:t>
      </w:r>
    </w:p>
    <w:p>
      <w:pPr>
        <w:snapToGrid w:val="0"/>
        <w:spacing w:line="360" w:lineRule="exact"/>
        <w:jc w:val="center"/>
        <w:rPr>
          <w:rFonts w:hint="eastAsia" w:ascii="宋体"/>
          <w:b/>
          <w:szCs w:val="21"/>
        </w:rPr>
      </w:pPr>
    </w:p>
    <w:tbl>
      <w:tblPr>
        <w:tblStyle w:val="57"/>
        <w:tblW w:w="9468" w:type="dxa"/>
        <w:tblInd w:w="0" w:type="dxa"/>
        <w:tblLayout w:type="fixed"/>
        <w:tblCellMar>
          <w:top w:w="0" w:type="dxa"/>
          <w:left w:w="108" w:type="dxa"/>
          <w:bottom w:w="0" w:type="dxa"/>
          <w:right w:w="108" w:type="dxa"/>
        </w:tblCellMar>
      </w:tblPr>
      <w:tblGrid>
        <w:gridCol w:w="4788"/>
        <w:gridCol w:w="4680"/>
      </w:tblGrid>
      <w:tr>
        <w:tblPrEx>
          <w:tblLayout w:type="fixed"/>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szCs w:val="21"/>
              </w:rPr>
            </w:pPr>
            <w:r>
              <w:rPr>
                <w:rFonts w:hint="eastAsia" w:ascii="宋体"/>
                <w:b/>
                <w:szCs w:val="21"/>
              </w:rPr>
              <w:t>1、供应商承诺具体事项：</w:t>
            </w:r>
          </w:p>
        </w:tc>
      </w:tr>
      <w:tr>
        <w:tblPrEx>
          <w:tblLayout w:type="fixed"/>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szCs w:val="21"/>
              </w:rPr>
            </w:pPr>
            <w:r>
              <w:rPr>
                <w:rFonts w:hint="eastAsia" w:ascii="宋体"/>
                <w:b/>
                <w:szCs w:val="21"/>
              </w:rPr>
              <w:t>2、售后服务具体事项：</w:t>
            </w:r>
          </w:p>
        </w:tc>
      </w:tr>
      <w:tr>
        <w:tblPrEx>
          <w:tblLayout w:type="fixed"/>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szCs w:val="21"/>
              </w:rPr>
            </w:pPr>
            <w:r>
              <w:rPr>
                <w:rFonts w:hint="eastAsia" w:ascii="宋体"/>
                <w:b/>
                <w:szCs w:val="21"/>
              </w:rPr>
              <w:t>3、保修期责任：</w:t>
            </w:r>
          </w:p>
        </w:tc>
      </w:tr>
      <w:tr>
        <w:tblPrEx>
          <w:tblLayout w:type="fixed"/>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szCs w:val="21"/>
              </w:rPr>
            </w:pPr>
            <w:r>
              <w:rPr>
                <w:rFonts w:hint="eastAsia" w:ascii="宋体"/>
                <w:b/>
                <w:szCs w:val="21"/>
              </w:rPr>
              <w:t>4、其他具体事项：</w:t>
            </w:r>
          </w:p>
        </w:tc>
      </w:tr>
      <w:tr>
        <w:tblPrEx>
          <w:tblLayout w:type="fixed"/>
          <w:tblCellMar>
            <w:top w:w="0" w:type="dxa"/>
            <w:left w:w="108" w:type="dxa"/>
            <w:bottom w:w="0" w:type="dxa"/>
            <w:right w:w="108" w:type="dxa"/>
          </w:tblCellMar>
        </w:tblPrEx>
        <w:trPr>
          <w:trHeight w:val="2577" w:hRule="atLeast"/>
        </w:trPr>
        <w:tc>
          <w:tcPr>
            <w:tcW w:w="47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422" w:firstLineChars="200"/>
              <w:rPr>
                <w:rFonts w:hint="eastAsia" w:ascii="宋体"/>
                <w:b/>
                <w:szCs w:val="21"/>
              </w:rPr>
            </w:pPr>
            <w:r>
              <w:rPr>
                <w:rFonts w:hint="eastAsia" w:ascii="宋体"/>
                <w:b/>
                <w:szCs w:val="21"/>
              </w:rPr>
              <w:t>甲方（章）</w:t>
            </w:r>
          </w:p>
          <w:p>
            <w:pPr>
              <w:snapToGrid w:val="0"/>
              <w:spacing w:line="360" w:lineRule="exact"/>
              <w:ind w:firstLine="422" w:firstLineChars="200"/>
              <w:rPr>
                <w:rFonts w:hint="eastAsia" w:ascii="宋体"/>
                <w:b/>
                <w:szCs w:val="21"/>
              </w:rPr>
            </w:pPr>
          </w:p>
          <w:p>
            <w:pPr>
              <w:snapToGrid w:val="0"/>
              <w:spacing w:line="360" w:lineRule="exact"/>
              <w:ind w:firstLine="422" w:firstLineChars="200"/>
              <w:rPr>
                <w:rFonts w:hint="eastAsia" w:ascii="宋体"/>
                <w:b/>
                <w:szCs w:val="21"/>
              </w:rPr>
            </w:pPr>
          </w:p>
          <w:p>
            <w:pPr>
              <w:snapToGrid w:val="0"/>
              <w:spacing w:line="360" w:lineRule="exact"/>
              <w:ind w:firstLine="422" w:firstLineChars="200"/>
              <w:rPr>
                <w:rFonts w:hint="eastAsia" w:ascii="宋体"/>
                <w:b/>
                <w:szCs w:val="21"/>
              </w:rPr>
            </w:pPr>
          </w:p>
          <w:p>
            <w:pPr>
              <w:snapToGrid w:val="0"/>
              <w:spacing w:line="360" w:lineRule="exact"/>
              <w:ind w:firstLine="422" w:firstLineChars="200"/>
              <w:rPr>
                <w:rFonts w:hint="eastAsia" w:ascii="宋体"/>
                <w:b/>
                <w:szCs w:val="21"/>
              </w:rPr>
            </w:pPr>
          </w:p>
          <w:p>
            <w:pPr>
              <w:snapToGrid w:val="0"/>
              <w:spacing w:line="360" w:lineRule="exact"/>
              <w:ind w:firstLine="422" w:firstLineChars="200"/>
              <w:rPr>
                <w:rFonts w:hint="eastAsia" w:ascii="宋体"/>
                <w:b/>
                <w:szCs w:val="21"/>
              </w:rPr>
            </w:pPr>
          </w:p>
          <w:p>
            <w:pPr>
              <w:snapToGrid w:val="0"/>
              <w:spacing w:line="360" w:lineRule="exact"/>
              <w:ind w:firstLine="422" w:firstLineChars="200"/>
              <w:rPr>
                <w:rFonts w:hint="eastAsia" w:ascii="宋体"/>
                <w:b/>
                <w:szCs w:val="21"/>
              </w:rPr>
            </w:pPr>
          </w:p>
          <w:p>
            <w:pPr>
              <w:snapToGrid w:val="0"/>
              <w:spacing w:line="360" w:lineRule="exact"/>
              <w:ind w:firstLine="422" w:firstLineChars="200"/>
              <w:rPr>
                <w:rFonts w:hint="eastAsia"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422" w:firstLineChars="200"/>
              <w:rPr>
                <w:rFonts w:hint="eastAsia" w:ascii="宋体"/>
                <w:b/>
                <w:szCs w:val="21"/>
              </w:rPr>
            </w:pPr>
            <w:r>
              <w:rPr>
                <w:rFonts w:hint="eastAsia" w:ascii="宋体"/>
                <w:b/>
                <w:szCs w:val="21"/>
              </w:rPr>
              <w:t>乙方（章）</w:t>
            </w:r>
          </w:p>
          <w:p>
            <w:pPr>
              <w:snapToGrid w:val="0"/>
              <w:spacing w:line="360" w:lineRule="exact"/>
              <w:ind w:firstLine="422" w:firstLineChars="200"/>
              <w:rPr>
                <w:rFonts w:hint="eastAsia" w:ascii="宋体"/>
                <w:b/>
                <w:szCs w:val="21"/>
              </w:rPr>
            </w:pPr>
          </w:p>
          <w:p>
            <w:pPr>
              <w:snapToGrid w:val="0"/>
              <w:spacing w:line="360" w:lineRule="exact"/>
              <w:ind w:firstLine="422" w:firstLineChars="200"/>
              <w:rPr>
                <w:rFonts w:hint="eastAsia" w:ascii="宋体"/>
                <w:b/>
                <w:szCs w:val="21"/>
              </w:rPr>
            </w:pPr>
          </w:p>
          <w:p>
            <w:pPr>
              <w:snapToGrid w:val="0"/>
              <w:spacing w:line="360" w:lineRule="exact"/>
              <w:ind w:firstLine="422" w:firstLineChars="200"/>
              <w:rPr>
                <w:rFonts w:hint="eastAsia" w:ascii="宋体"/>
                <w:b/>
                <w:szCs w:val="21"/>
              </w:rPr>
            </w:pPr>
          </w:p>
          <w:p>
            <w:pPr>
              <w:snapToGrid w:val="0"/>
              <w:spacing w:line="360" w:lineRule="exact"/>
              <w:ind w:firstLine="422" w:firstLineChars="200"/>
              <w:rPr>
                <w:rFonts w:hint="eastAsia" w:ascii="宋体"/>
                <w:b/>
                <w:szCs w:val="21"/>
              </w:rPr>
            </w:pPr>
          </w:p>
          <w:p>
            <w:pPr>
              <w:snapToGrid w:val="0"/>
              <w:spacing w:line="360" w:lineRule="exact"/>
              <w:ind w:firstLine="422" w:firstLineChars="200"/>
              <w:rPr>
                <w:rFonts w:hint="eastAsia" w:ascii="宋体"/>
                <w:b/>
                <w:szCs w:val="21"/>
              </w:rPr>
            </w:pPr>
          </w:p>
          <w:p>
            <w:pPr>
              <w:snapToGrid w:val="0"/>
              <w:spacing w:line="360" w:lineRule="exact"/>
              <w:ind w:firstLine="422" w:firstLineChars="200"/>
              <w:rPr>
                <w:rFonts w:hint="eastAsia" w:ascii="宋体"/>
                <w:b/>
                <w:szCs w:val="21"/>
              </w:rPr>
            </w:pPr>
          </w:p>
          <w:p>
            <w:pPr>
              <w:snapToGrid w:val="0"/>
              <w:spacing w:line="360" w:lineRule="exact"/>
              <w:ind w:firstLine="422" w:firstLineChars="200"/>
              <w:rPr>
                <w:rFonts w:hint="eastAsia" w:ascii="宋体"/>
                <w:b/>
                <w:szCs w:val="21"/>
              </w:rPr>
            </w:pPr>
            <w:r>
              <w:rPr>
                <w:rFonts w:hint="eastAsia" w:ascii="宋体"/>
                <w:b/>
                <w:szCs w:val="21"/>
              </w:rPr>
              <w:t xml:space="preserve">                       年   月   日</w:t>
            </w:r>
          </w:p>
        </w:tc>
      </w:tr>
    </w:tbl>
    <w:p>
      <w:pPr>
        <w:snapToGrid w:val="0"/>
        <w:spacing w:line="360" w:lineRule="exact"/>
        <w:rPr>
          <w:rFonts w:hint="eastAsia" w:ascii="宋体"/>
          <w:szCs w:val="21"/>
        </w:rPr>
      </w:pPr>
      <w:r>
        <w:rPr>
          <w:rFonts w:hint="eastAsia" w:ascii="宋体"/>
          <w:szCs w:val="21"/>
        </w:rPr>
        <w:t xml:space="preserve">  注：售后服务事项填不下时可另加附页</w:t>
      </w:r>
    </w:p>
    <w:p>
      <w:pPr>
        <w:pStyle w:val="22"/>
        <w:ind w:firstLine="634"/>
        <w:jc w:val="center"/>
        <w:rPr>
          <w:sz w:val="18"/>
          <w:szCs w:val="18"/>
        </w:rPr>
      </w:pPr>
      <w:r>
        <w:rPr>
          <w:sz w:val="18"/>
          <w:szCs w:val="18"/>
        </w:rPr>
        <w:br w:type="page"/>
      </w:r>
    </w:p>
    <w:p>
      <w:pPr>
        <w:spacing w:before="120" w:line="320" w:lineRule="atLeast"/>
        <w:jc w:val="left"/>
        <w:outlineLvl w:val="1"/>
        <w:rPr>
          <w:b/>
          <w:bCs/>
          <w:kern w:val="0"/>
          <w:szCs w:val="21"/>
        </w:rPr>
      </w:pPr>
      <w:r>
        <w:rPr>
          <w:b/>
          <w:bCs/>
          <w:kern w:val="0"/>
          <w:szCs w:val="21"/>
        </w:rPr>
        <w:t>合同附件</w:t>
      </w:r>
      <w:r>
        <w:rPr>
          <w:rFonts w:hint="eastAsia"/>
          <w:b/>
          <w:bCs/>
          <w:kern w:val="0"/>
          <w:szCs w:val="21"/>
        </w:rPr>
        <w:t>2</w:t>
      </w:r>
    </w:p>
    <w:p>
      <w:pPr>
        <w:pStyle w:val="22"/>
        <w:ind w:firstLine="634"/>
        <w:rPr>
          <w:sz w:val="18"/>
          <w:szCs w:val="18"/>
        </w:rPr>
      </w:pPr>
    </w:p>
    <w:p>
      <w:pPr>
        <w:snapToGrid w:val="0"/>
        <w:spacing w:line="360" w:lineRule="exact"/>
        <w:jc w:val="center"/>
        <w:rPr>
          <w:b/>
          <w:bCs/>
          <w:szCs w:val="21"/>
        </w:rPr>
      </w:pPr>
      <w:r>
        <w:rPr>
          <w:rFonts w:hint="eastAsia"/>
          <w:b/>
          <w:bCs/>
          <w:szCs w:val="21"/>
        </w:rPr>
        <w:t>投标保证金退还申请</w:t>
      </w:r>
    </w:p>
    <w:p>
      <w:pPr>
        <w:rPr>
          <w:sz w:val="32"/>
          <w:szCs w:val="32"/>
        </w:rPr>
      </w:pPr>
    </w:p>
    <w:p>
      <w:pPr>
        <w:rPr>
          <w:szCs w:val="21"/>
        </w:rPr>
      </w:pPr>
      <w:r>
        <w:rPr>
          <w:rFonts w:hint="eastAsia"/>
          <w:szCs w:val="21"/>
        </w:rPr>
        <w:t>广西</w:t>
      </w:r>
      <w:r>
        <w:rPr>
          <w:szCs w:val="21"/>
        </w:rPr>
        <w:t>机电设备招标有限公司</w:t>
      </w:r>
      <w:r>
        <w:rPr>
          <w:rFonts w:hint="eastAsia"/>
          <w:szCs w:val="21"/>
        </w:rPr>
        <w:t>：</w:t>
      </w:r>
    </w:p>
    <w:p>
      <w:pPr>
        <w:rPr>
          <w:szCs w:val="21"/>
        </w:rPr>
      </w:pPr>
    </w:p>
    <w:p>
      <w:pPr>
        <w:snapToGrid w:val="0"/>
        <w:spacing w:line="400" w:lineRule="exact"/>
        <w:ind w:firstLine="420" w:firstLineChars="200"/>
        <w:rPr>
          <w:szCs w:val="21"/>
        </w:rPr>
      </w:pPr>
      <w:r>
        <w:rPr>
          <w:rFonts w:hint="eastAsia"/>
          <w:szCs w:val="21"/>
        </w:rPr>
        <w:t>我单位</w:t>
      </w:r>
      <w:r>
        <w:rPr>
          <w:rFonts w:hint="eastAsia"/>
          <w:szCs w:val="21"/>
          <w:u w:val="single"/>
        </w:rPr>
        <w:t>（中标人名称）</w:t>
      </w:r>
      <w:r>
        <w:rPr>
          <w:rFonts w:hint="eastAsia"/>
          <w:szCs w:val="21"/>
        </w:rPr>
        <w:t>已于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r>
        <w:rPr>
          <w:rFonts w:hint="eastAsia"/>
          <w:szCs w:val="21"/>
          <w:u w:val="single"/>
        </w:rPr>
        <w:t xml:space="preserve">  </w:t>
      </w:r>
      <w:r>
        <w:rPr>
          <w:rFonts w:hint="eastAsia"/>
          <w:szCs w:val="21"/>
        </w:rPr>
        <w:t>时</w:t>
      </w:r>
      <w:r>
        <w:rPr>
          <w:rFonts w:hint="eastAsia"/>
          <w:szCs w:val="21"/>
          <w:u w:val="single"/>
        </w:rPr>
        <w:t xml:space="preserve">  </w:t>
      </w:r>
      <w:r>
        <w:rPr>
          <w:rFonts w:hint="eastAsia"/>
          <w:szCs w:val="21"/>
        </w:rPr>
        <w:t>分将</w:t>
      </w:r>
      <w:r>
        <w:rPr>
          <w:rFonts w:hint="eastAsia"/>
          <w:szCs w:val="21"/>
          <w:u w:val="single"/>
        </w:rPr>
        <w:t>（项目名称及项目编号）</w:t>
      </w:r>
      <w:r>
        <w:rPr>
          <w:rFonts w:hint="eastAsia"/>
          <w:szCs w:val="21"/>
        </w:rPr>
        <w:t>的</w:t>
      </w:r>
      <w:r>
        <w:rPr>
          <w:szCs w:val="21"/>
        </w:rPr>
        <w:t>政府采购合同扫描件</w:t>
      </w:r>
      <w:r>
        <w:rPr>
          <w:rFonts w:hint="eastAsia"/>
          <w:szCs w:val="21"/>
        </w:rPr>
        <w:t>发送至贵公司所指定的邮件，请给予办理投标保证金的退还手续。</w:t>
      </w:r>
    </w:p>
    <w:p>
      <w:pPr>
        <w:snapToGrid w:val="0"/>
        <w:spacing w:line="400" w:lineRule="exact"/>
        <w:ind w:firstLine="420" w:firstLineChars="200"/>
        <w:rPr>
          <w:szCs w:val="21"/>
        </w:rPr>
      </w:pPr>
    </w:p>
    <w:p>
      <w:pPr>
        <w:snapToGrid w:val="0"/>
        <w:spacing w:line="400" w:lineRule="exact"/>
        <w:ind w:firstLine="420" w:firstLineChars="200"/>
        <w:rPr>
          <w:szCs w:val="21"/>
        </w:rPr>
      </w:pPr>
    </w:p>
    <w:p>
      <w:pPr>
        <w:snapToGrid w:val="0"/>
        <w:spacing w:line="400" w:lineRule="exact"/>
        <w:rPr>
          <w:szCs w:val="21"/>
        </w:rPr>
      </w:pPr>
    </w:p>
    <w:p>
      <w:pPr>
        <w:wordWrap w:val="0"/>
        <w:snapToGrid w:val="0"/>
        <w:spacing w:line="400" w:lineRule="exact"/>
        <w:jc w:val="right"/>
        <w:rPr>
          <w:szCs w:val="21"/>
          <w:u w:val="single"/>
        </w:rPr>
      </w:pPr>
      <w:r>
        <w:rPr>
          <w:rFonts w:hint="eastAsia"/>
          <w:szCs w:val="21"/>
        </w:rPr>
        <w:t>供应商邮寄地址：</w:t>
      </w:r>
      <w:r>
        <w:rPr>
          <w:rFonts w:hint="eastAsia"/>
          <w:szCs w:val="21"/>
          <w:u w:val="single"/>
        </w:rPr>
        <w:t xml:space="preserve"> </w:t>
      </w:r>
      <w:r>
        <w:rPr>
          <w:szCs w:val="21"/>
          <w:u w:val="single"/>
        </w:rPr>
        <w:t xml:space="preserve">          </w:t>
      </w:r>
    </w:p>
    <w:p>
      <w:pPr>
        <w:wordWrap w:val="0"/>
        <w:snapToGrid w:val="0"/>
        <w:spacing w:line="400" w:lineRule="exact"/>
        <w:jc w:val="right"/>
        <w:rPr>
          <w:szCs w:val="21"/>
          <w:u w:val="single"/>
        </w:rPr>
      </w:pPr>
      <w:r>
        <w:rPr>
          <w:rFonts w:hint="eastAsia"/>
          <w:szCs w:val="21"/>
        </w:rPr>
        <w:t>供应商联系方式：</w:t>
      </w:r>
      <w:r>
        <w:rPr>
          <w:rFonts w:hint="eastAsia"/>
          <w:szCs w:val="21"/>
          <w:u w:val="single"/>
        </w:rPr>
        <w:t xml:space="preserve"> </w:t>
      </w:r>
      <w:r>
        <w:rPr>
          <w:szCs w:val="21"/>
          <w:u w:val="single"/>
        </w:rPr>
        <w:t xml:space="preserve">          </w:t>
      </w:r>
    </w:p>
    <w:p>
      <w:pPr>
        <w:wordWrap w:val="0"/>
        <w:snapToGrid w:val="0"/>
        <w:spacing w:line="400" w:lineRule="exact"/>
        <w:ind w:firstLine="3570" w:firstLineChars="1700"/>
        <w:jc w:val="right"/>
        <w:rPr>
          <w:szCs w:val="21"/>
          <w:u w:val="single"/>
        </w:rPr>
      </w:pPr>
      <w:r>
        <w:rPr>
          <w:rFonts w:hint="eastAsia"/>
          <w:szCs w:val="21"/>
        </w:rPr>
        <w:t>公司名称：</w:t>
      </w:r>
      <w:r>
        <w:rPr>
          <w:rFonts w:hint="eastAsia"/>
          <w:szCs w:val="21"/>
          <w:u w:val="single"/>
        </w:rPr>
        <w:t xml:space="preserve">（盖章） </w:t>
      </w:r>
      <w:r>
        <w:rPr>
          <w:szCs w:val="21"/>
          <w:u w:val="single"/>
        </w:rPr>
        <w:t xml:space="preserve">   </w:t>
      </w:r>
    </w:p>
    <w:p>
      <w:pPr>
        <w:wordWrap w:val="0"/>
        <w:snapToGrid w:val="0"/>
        <w:spacing w:line="400" w:lineRule="exact"/>
        <w:ind w:right="735" w:firstLine="3570" w:firstLineChars="1700"/>
        <w:jc w:val="right"/>
        <w:rPr>
          <w:szCs w:val="21"/>
        </w:rPr>
      </w:pPr>
      <w:r>
        <w:rPr>
          <w:rFonts w:hint="eastAsia"/>
          <w:szCs w:val="21"/>
        </w:rPr>
        <w:t xml:space="preserve">日期： </w:t>
      </w:r>
      <w:r>
        <w:rPr>
          <w:szCs w:val="21"/>
        </w:rPr>
        <w:t xml:space="preserve">   </w:t>
      </w:r>
    </w:p>
    <w:p>
      <w:pPr>
        <w:rPr>
          <w:szCs w:val="21"/>
        </w:rPr>
      </w:pPr>
    </w:p>
    <w:p>
      <w:pPr>
        <w:rPr>
          <w:szCs w:val="21"/>
        </w:rPr>
      </w:pPr>
    </w:p>
    <w:p>
      <w:pPr>
        <w:spacing w:before="120" w:line="320" w:lineRule="atLeast"/>
        <w:jc w:val="left"/>
        <w:outlineLvl w:val="1"/>
        <w:rPr>
          <w:b/>
          <w:bCs/>
          <w:kern w:val="0"/>
          <w:szCs w:val="21"/>
        </w:rPr>
      </w:pPr>
      <w:r>
        <w:br w:type="page"/>
      </w:r>
      <w:r>
        <w:rPr>
          <w:b/>
          <w:bCs/>
          <w:kern w:val="0"/>
          <w:szCs w:val="21"/>
        </w:rPr>
        <w:t>合同附件</w:t>
      </w:r>
      <w:r>
        <w:rPr>
          <w:rFonts w:hint="eastAsia"/>
          <w:b/>
          <w:bCs/>
          <w:kern w:val="0"/>
          <w:szCs w:val="21"/>
        </w:rPr>
        <w:t>3</w:t>
      </w:r>
    </w:p>
    <w:p>
      <w:pPr>
        <w:pStyle w:val="28"/>
        <w:snapToGrid w:val="0"/>
        <w:rPr>
          <w:rFonts w:ascii="Times New Roman" w:hAnsi="Times New Roman" w:cs="Times New Roman"/>
        </w:rPr>
      </w:pPr>
    </w:p>
    <w:p>
      <w:pPr>
        <w:snapToGrid w:val="0"/>
        <w:spacing w:line="360" w:lineRule="exact"/>
        <w:jc w:val="center"/>
        <w:rPr>
          <w:b/>
          <w:bCs/>
          <w:szCs w:val="21"/>
        </w:rPr>
      </w:pPr>
      <w:r>
        <w:rPr>
          <w:b/>
          <w:bCs/>
          <w:szCs w:val="21"/>
        </w:rPr>
        <w:t>广西壮族自治区政府采购项目合同验收书</w:t>
      </w:r>
    </w:p>
    <w:p>
      <w:pPr>
        <w:widowControl/>
        <w:snapToGrid w:val="0"/>
        <w:spacing w:before="100" w:beforeAutospacing="1" w:after="100" w:afterAutospacing="1" w:line="320" w:lineRule="exact"/>
        <w:ind w:left="-359" w:leftChars="-171" w:firstLine="420" w:firstLineChars="200"/>
        <w:jc w:val="left"/>
        <w:rPr>
          <w:kern w:val="0"/>
          <w:szCs w:val="21"/>
        </w:rPr>
      </w:pPr>
      <w:r>
        <w:rPr>
          <w:kern w:val="0"/>
          <w:szCs w:val="21"/>
        </w:rPr>
        <w:t>根据政府采购项目（</w:t>
      </w:r>
      <w:r>
        <w:rPr>
          <w:kern w:val="0"/>
          <w:szCs w:val="21"/>
          <w:u w:val="single"/>
        </w:rPr>
        <w:t xml:space="preserve">采购合同编号：     </w:t>
      </w:r>
      <w:r>
        <w:rPr>
          <w:kern w:val="0"/>
          <w:szCs w:val="21"/>
        </w:rPr>
        <w:t>）的约定，我单位对（</w:t>
      </w:r>
      <w:r>
        <w:rPr>
          <w:kern w:val="0"/>
          <w:szCs w:val="21"/>
          <w:u w:val="single"/>
        </w:rPr>
        <w:t xml:space="preserve">  项目名称   </w:t>
      </w:r>
      <w:r>
        <w:rPr>
          <w:kern w:val="0"/>
          <w:szCs w:val="21"/>
        </w:rPr>
        <w:t>）政府采购项目中标（或成交）供应商（</w:t>
      </w:r>
      <w:r>
        <w:rPr>
          <w:kern w:val="0"/>
          <w:szCs w:val="21"/>
          <w:u w:val="single"/>
        </w:rPr>
        <w:t xml:space="preserve">            公司名称              </w:t>
      </w:r>
      <w:r>
        <w:rPr>
          <w:kern w:val="0"/>
          <w:szCs w:val="21"/>
        </w:rPr>
        <w:t>）提供的货物（或工程、服务）进行了验收，验收情况如下：</w:t>
      </w:r>
    </w:p>
    <w:tbl>
      <w:tblPr>
        <w:tblStyle w:val="57"/>
        <w:tblW w:w="962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 w:firstLineChars="2"/>
              <w:jc w:val="center"/>
              <w:rPr>
                <w:kern w:val="0"/>
                <w:szCs w:val="21"/>
              </w:rPr>
            </w:pPr>
            <w:r>
              <w:rPr>
                <w:kern w:val="0"/>
                <w:szCs w:val="21"/>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center"/>
              <w:rPr>
                <w:kern w:val="0"/>
                <w:szCs w:val="21"/>
              </w:rPr>
            </w:pPr>
            <w:r>
              <w:rPr>
                <w:kern w:val="0"/>
                <w:szCs w:val="21"/>
              </w:rPr>
              <w:t>□自行验收         □委托验收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2" w:firstLineChars="1"/>
              <w:jc w:val="center"/>
              <w:rPr>
                <w:kern w:val="0"/>
                <w:szCs w:val="21"/>
              </w:rPr>
            </w:pPr>
            <w:r>
              <w:rPr>
                <w:kern w:val="0"/>
                <w:szCs w:val="21"/>
              </w:rPr>
              <w:t>序号</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2" w:firstLineChars="1"/>
              <w:jc w:val="center"/>
              <w:rPr>
                <w:kern w:val="0"/>
                <w:szCs w:val="21"/>
              </w:rPr>
            </w:pPr>
            <w:r>
              <w:rPr>
                <w:kern w:val="0"/>
                <w:szCs w:val="21"/>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2" w:firstLineChars="1"/>
              <w:jc w:val="center"/>
              <w:rPr>
                <w:kern w:val="0"/>
                <w:szCs w:val="21"/>
              </w:rPr>
            </w:pPr>
            <w:r>
              <w:rPr>
                <w:kern w:val="0"/>
                <w:szCs w:val="21"/>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jc w:val="center"/>
              <w:rPr>
                <w:kern w:val="0"/>
                <w:szCs w:val="21"/>
              </w:rPr>
            </w:pPr>
            <w:r>
              <w:rPr>
                <w:kern w:val="0"/>
                <w:szCs w:val="21"/>
              </w:rPr>
              <w:t>数量</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2" w:firstLineChars="1"/>
              <w:jc w:val="center"/>
              <w:rPr>
                <w:kern w:val="0"/>
                <w:szCs w:val="21"/>
              </w:rPr>
            </w:pPr>
            <w:r>
              <w:rPr>
                <w:kern w:val="0"/>
                <w:szCs w:val="21"/>
              </w:rPr>
              <w:t>金  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 w:firstLineChars="2"/>
              <w:jc w:val="left"/>
              <w:rPr>
                <w:kern w:val="0"/>
                <w:szCs w:val="21"/>
              </w:rPr>
            </w:pPr>
            <w:r>
              <w:rPr>
                <w:kern w:val="0"/>
                <w:szCs w:val="21"/>
              </w:rPr>
              <w:t> </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kern w:val="0"/>
                <w:szCs w:val="21"/>
              </w:rPr>
            </w:pPr>
            <w:r>
              <w:rPr>
                <w:kern w:val="0"/>
                <w:szCs w:val="21"/>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kern w:val="0"/>
                <w:szCs w:val="21"/>
              </w:rPr>
            </w:pPr>
            <w:r>
              <w:rPr>
                <w:kern w:val="0"/>
                <w:szCs w:val="21"/>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kern w:val="0"/>
                <w:szCs w:val="21"/>
              </w:rPr>
            </w:pPr>
            <w:r>
              <w:rPr>
                <w:kern w:val="0"/>
                <w:szCs w:val="21"/>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kern w:val="0"/>
                <w:szCs w:val="21"/>
              </w:rPr>
            </w:pPr>
            <w:r>
              <w:rPr>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kern w:val="0"/>
                <w:szCs w:val="21"/>
              </w:rPr>
            </w:pPr>
            <w:r>
              <w:rPr>
                <w:kern w:val="0"/>
                <w:szCs w:val="21"/>
              </w:rPr>
              <w:t> </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kern w:val="0"/>
                <w:szCs w:val="21"/>
              </w:rPr>
            </w:pPr>
            <w:r>
              <w:rPr>
                <w:kern w:val="0"/>
                <w:szCs w:val="21"/>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kern w:val="0"/>
                <w:szCs w:val="21"/>
              </w:rPr>
            </w:pPr>
            <w:r>
              <w:rPr>
                <w:kern w:val="0"/>
                <w:szCs w:val="21"/>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kern w:val="0"/>
                <w:szCs w:val="21"/>
              </w:rPr>
            </w:pPr>
            <w:r>
              <w:rPr>
                <w:kern w:val="0"/>
                <w:szCs w:val="21"/>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kern w:val="0"/>
                <w:szCs w:val="21"/>
              </w:rPr>
            </w:pPr>
            <w:r>
              <w:rPr>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kern w:val="0"/>
                <w:szCs w:val="21"/>
              </w:rPr>
            </w:pPr>
            <w:r>
              <w:rPr>
                <w:kern w:val="0"/>
                <w:szCs w:val="21"/>
              </w:rPr>
              <w:t> </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kern w:val="0"/>
                <w:szCs w:val="21"/>
              </w:rPr>
            </w:pPr>
            <w:r>
              <w:rPr>
                <w:kern w:val="0"/>
                <w:szCs w:val="21"/>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20" w:firstLineChars="200"/>
              <w:jc w:val="left"/>
              <w:rPr>
                <w:kern w:val="0"/>
                <w:szCs w:val="21"/>
              </w:rPr>
            </w:pPr>
            <w:r>
              <w:rPr>
                <w:kern w:val="0"/>
                <w:szCs w:val="21"/>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kern w:val="0"/>
                <w:szCs w:val="21"/>
              </w:rPr>
            </w:pPr>
            <w:r>
              <w:rPr>
                <w:kern w:val="0"/>
                <w:szCs w:val="21"/>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kern w:val="0"/>
                <w:szCs w:val="21"/>
              </w:rPr>
            </w:pPr>
            <w:r>
              <w:rPr>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 w:firstLineChars="2"/>
              <w:jc w:val="left"/>
              <w:rPr>
                <w:kern w:val="0"/>
                <w:szCs w:val="21"/>
              </w:rPr>
            </w:pPr>
            <w:r>
              <w:rPr>
                <w:kern w:val="0"/>
                <w:szCs w:val="21"/>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kern w:val="0"/>
                <w:szCs w:val="21"/>
              </w:rPr>
            </w:pPr>
            <w:r>
              <w:rPr>
                <w:kern w:val="0"/>
                <w:szCs w:val="21"/>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420" w:firstLineChars="200"/>
              <w:jc w:val="left"/>
              <w:rPr>
                <w:kern w:val="0"/>
                <w:szCs w:val="21"/>
              </w:rPr>
            </w:pPr>
            <w:r>
              <w:rPr>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2" w:firstLineChars="1"/>
              <w:jc w:val="left"/>
              <w:rPr>
                <w:kern w:val="0"/>
                <w:szCs w:val="21"/>
              </w:rPr>
            </w:pPr>
            <w:r>
              <w:rPr>
                <w:kern w:val="0"/>
                <w:szCs w:val="21"/>
              </w:rPr>
              <w:t>合计大写金额：   仟    佰    拾    万    仟    佰    拾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2" w:firstLineChars="1"/>
              <w:jc w:val="left"/>
              <w:rPr>
                <w:kern w:val="0"/>
                <w:szCs w:val="21"/>
              </w:rPr>
            </w:pPr>
            <w:r>
              <w:rPr>
                <w:kern w:val="0"/>
                <w:szCs w:val="21"/>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exact"/>
              <w:ind w:firstLine="420" w:firstLineChars="200"/>
              <w:jc w:val="left"/>
              <w:rPr>
                <w:kern w:val="0"/>
                <w:szCs w:val="21"/>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exact"/>
              <w:ind w:firstLine="39" w:firstLineChars="19"/>
              <w:jc w:val="center"/>
              <w:rPr>
                <w:kern w:val="0"/>
                <w:szCs w:val="21"/>
              </w:rPr>
            </w:pPr>
            <w:r>
              <w:rPr>
                <w:kern w:val="0"/>
                <w:szCs w:val="21"/>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exact"/>
              <w:ind w:firstLine="420" w:firstLineChars="200"/>
              <w:jc w:val="left"/>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exact"/>
              <w:jc w:val="left"/>
              <w:rPr>
                <w:kern w:val="0"/>
                <w:szCs w:val="21"/>
              </w:rPr>
            </w:pPr>
            <w:r>
              <w:rPr>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exact"/>
              <w:jc w:val="left"/>
              <w:rPr>
                <w:kern w:val="0"/>
                <w:szCs w:val="21"/>
              </w:rPr>
            </w:pPr>
            <w:r>
              <w:rPr>
                <w:szCs w:val="21"/>
              </w:rPr>
              <w:t>（应</w:t>
            </w:r>
            <w:r>
              <w:rPr>
                <w:kern w:val="0"/>
                <w:szCs w:val="21"/>
              </w:rPr>
              <w:t>按采购合同、招标文件、投标响应文件及验收方案等进行验收；并核对</w:t>
            </w:r>
            <w:r>
              <w:rPr>
                <w:szCs w:val="21"/>
              </w:rPr>
              <w:t>中标或者成交供应商在安装调试等方面是否违反合同约定或服务规范要求、提供的质量保证证明材料是否齐全、应有的配件及附件是否达到合同约定等</w:t>
            </w:r>
            <w:r>
              <w:rPr>
                <w:kern w:val="0"/>
                <w:szCs w:val="21"/>
              </w:rPr>
              <w:t>。可附件)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exact"/>
              <w:jc w:val="left"/>
              <w:rPr>
                <w:kern w:val="0"/>
                <w:szCs w:val="21"/>
              </w:rPr>
            </w:pPr>
            <w:r>
              <w:rPr>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pPr>
              <w:widowControl/>
              <w:spacing w:before="100" w:beforeAutospacing="1" w:after="100" w:afterAutospacing="1" w:line="320" w:lineRule="exact"/>
              <w:jc w:val="left"/>
              <w:rPr>
                <w:kern w:val="0"/>
                <w:szCs w:val="21"/>
              </w:rPr>
            </w:pPr>
            <w:r>
              <w:rPr>
                <w:kern w:val="0"/>
                <w:szCs w:val="21"/>
              </w:rPr>
              <w:t>验收结论性意见：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20" w:lineRule="exact"/>
              <w:jc w:val="left"/>
              <w:rPr>
                <w:kern w:val="0"/>
                <w:szCs w:val="21"/>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pPr>
              <w:spacing w:before="100" w:beforeAutospacing="1" w:after="100" w:afterAutospacing="1" w:line="320" w:lineRule="exact"/>
              <w:jc w:val="left"/>
              <w:rPr>
                <w:kern w:val="0"/>
                <w:szCs w:val="21"/>
              </w:rPr>
            </w:pPr>
            <w:r>
              <w:rPr>
                <w:kern w:val="0"/>
                <w:szCs w:val="21"/>
              </w:rPr>
              <w:t>有异议的意见和说明理由：</w:t>
            </w:r>
          </w:p>
          <w:p>
            <w:pPr>
              <w:spacing w:before="100" w:beforeAutospacing="1" w:after="100" w:afterAutospacing="1" w:line="320" w:lineRule="exact"/>
              <w:jc w:val="left"/>
              <w:rPr>
                <w:kern w:val="0"/>
                <w:szCs w:val="21"/>
              </w:rPr>
            </w:pPr>
            <w:r>
              <w:rPr>
                <w:kern w:val="0"/>
                <w:szCs w:val="21"/>
              </w:rPr>
              <w:t xml:space="preserve">                                      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exact"/>
              <w:jc w:val="left"/>
              <w:rPr>
                <w:kern w:val="0"/>
                <w:szCs w:val="21"/>
              </w:rPr>
            </w:pPr>
            <w:r>
              <w:rPr>
                <w:kern w:val="0"/>
                <w:szCs w:val="21"/>
              </w:rPr>
              <w:t>验收小组成员签字：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exact"/>
              <w:jc w:val="left"/>
              <w:rPr>
                <w:kern w:val="0"/>
                <w:szCs w:val="21"/>
              </w:rPr>
            </w:pPr>
            <w:r>
              <w:rPr>
                <w:kern w:val="0"/>
                <w:szCs w:val="21"/>
              </w:rPr>
              <w:t>监督人员或其他相关人员签字：</w:t>
            </w:r>
          </w:p>
          <w:p>
            <w:pPr>
              <w:widowControl/>
              <w:spacing w:before="100" w:beforeAutospacing="1" w:after="100" w:afterAutospacing="1" w:line="320" w:lineRule="exact"/>
              <w:ind w:firstLine="65" w:firstLineChars="31"/>
              <w:jc w:val="left"/>
              <w:rPr>
                <w:kern w:val="0"/>
                <w:szCs w:val="21"/>
              </w:rPr>
            </w:pPr>
            <w:r>
              <w:rPr>
                <w:kern w:val="0"/>
                <w:szCs w:val="21"/>
              </w:rPr>
              <w:t>或受邀机构的意见（盖章）：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320" w:lineRule="exact"/>
              <w:ind w:firstLine="65" w:firstLineChars="31"/>
              <w:jc w:val="left"/>
              <w:rPr>
                <w:kern w:val="0"/>
                <w:szCs w:val="21"/>
              </w:rPr>
            </w:pPr>
            <w:r>
              <w:rPr>
                <w:kern w:val="0"/>
                <w:szCs w:val="21"/>
              </w:rPr>
              <w:t>中标或者成交供应商负责人签字或盖章：</w:t>
            </w:r>
          </w:p>
          <w:p>
            <w:pPr>
              <w:widowControl/>
              <w:spacing w:before="100" w:beforeAutospacing="1" w:after="100" w:afterAutospacing="1" w:line="320" w:lineRule="exact"/>
              <w:jc w:val="left"/>
              <w:rPr>
                <w:kern w:val="0"/>
                <w:szCs w:val="21"/>
              </w:rPr>
            </w:pPr>
            <w:r>
              <w:rPr>
                <w:kern w:val="0"/>
                <w:szCs w:val="21"/>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pPr>
              <w:widowControl/>
              <w:spacing w:before="100" w:beforeAutospacing="1" w:after="100" w:afterAutospacing="1" w:line="320" w:lineRule="exact"/>
              <w:jc w:val="left"/>
              <w:rPr>
                <w:kern w:val="0"/>
                <w:szCs w:val="21"/>
              </w:rPr>
            </w:pPr>
            <w:r>
              <w:rPr>
                <w:kern w:val="0"/>
                <w:szCs w:val="21"/>
              </w:rPr>
              <w:t> 采购人或受托机构的意见（盖章）：</w:t>
            </w:r>
          </w:p>
          <w:p>
            <w:pPr>
              <w:widowControl/>
              <w:spacing w:before="100" w:beforeAutospacing="1" w:after="100" w:afterAutospacing="1" w:line="320" w:lineRule="exact"/>
              <w:jc w:val="left"/>
              <w:rPr>
                <w:kern w:val="0"/>
                <w:szCs w:val="21"/>
              </w:rPr>
            </w:pPr>
            <w:r>
              <w:rPr>
                <w:kern w:val="0"/>
                <w:szCs w:val="21"/>
              </w:rPr>
              <w:t>联系电话：                 年   月   日</w:t>
            </w:r>
          </w:p>
        </w:tc>
      </w:tr>
    </w:tbl>
    <w:p>
      <w:pPr>
        <w:widowControl/>
        <w:jc w:val="left"/>
        <w:rPr>
          <w:spacing w:val="-10"/>
          <w:kern w:val="0"/>
          <w:szCs w:val="21"/>
        </w:rPr>
      </w:pPr>
      <w:r>
        <w:rPr>
          <w:spacing w:val="-10"/>
          <w:kern w:val="0"/>
          <w:szCs w:val="21"/>
        </w:rPr>
        <w:t>备注：本报告单一式4份（采购单位1份、供应商1份、采购监督部门备案1份、采购代理机构1份）。</w:t>
      </w:r>
    </w:p>
    <w:p>
      <w:pPr>
        <w:spacing w:before="120" w:line="320" w:lineRule="atLeast"/>
        <w:jc w:val="left"/>
        <w:outlineLvl w:val="1"/>
        <w:rPr>
          <w:b/>
          <w:bCs/>
          <w:kern w:val="0"/>
          <w:szCs w:val="21"/>
        </w:rPr>
      </w:pPr>
      <w:r>
        <w:br w:type="page"/>
      </w:r>
      <w:r>
        <w:rPr>
          <w:b/>
          <w:bCs/>
          <w:kern w:val="0"/>
          <w:szCs w:val="21"/>
        </w:rPr>
        <w:t>合同附件</w:t>
      </w:r>
      <w:r>
        <w:rPr>
          <w:rFonts w:hint="eastAsia"/>
          <w:b/>
          <w:bCs/>
          <w:kern w:val="0"/>
          <w:szCs w:val="21"/>
        </w:rPr>
        <w:t>4</w:t>
      </w:r>
    </w:p>
    <w:p>
      <w:pPr>
        <w:snapToGrid w:val="0"/>
        <w:spacing w:line="360" w:lineRule="exact"/>
        <w:jc w:val="center"/>
        <w:rPr>
          <w:b/>
          <w:bCs/>
          <w:szCs w:val="21"/>
        </w:rPr>
      </w:pPr>
      <w:r>
        <w:rPr>
          <w:b/>
          <w:bCs/>
          <w:szCs w:val="21"/>
        </w:rPr>
        <w:t>政府采购项目履约保证金退付意见书</w:t>
      </w:r>
    </w:p>
    <w:p>
      <w:pPr>
        <w:jc w:val="center"/>
        <w:rPr>
          <w:sz w:val="36"/>
          <w:szCs w:val="36"/>
        </w:rPr>
      </w:pPr>
    </w:p>
    <w:tbl>
      <w:tblPr>
        <w:tblStyle w:val="57"/>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008" w:type="dxa"/>
            <w:vMerge w:val="restart"/>
            <w:noWrap w:val="0"/>
            <w:vAlign w:val="center"/>
          </w:tcPr>
          <w:p>
            <w:pPr>
              <w:jc w:val="center"/>
              <w:rPr>
                <w:szCs w:val="21"/>
              </w:rPr>
            </w:pPr>
            <w:r>
              <w:rPr>
                <w:szCs w:val="21"/>
              </w:rPr>
              <w:t>供</w:t>
            </w:r>
          </w:p>
          <w:p>
            <w:pPr>
              <w:jc w:val="center"/>
              <w:rPr>
                <w:szCs w:val="21"/>
              </w:rPr>
            </w:pPr>
            <w:r>
              <w:rPr>
                <w:szCs w:val="21"/>
              </w:rPr>
              <w:t>应</w:t>
            </w:r>
          </w:p>
          <w:p>
            <w:pPr>
              <w:jc w:val="center"/>
              <w:rPr>
                <w:szCs w:val="21"/>
              </w:rPr>
            </w:pPr>
            <w:r>
              <w:rPr>
                <w:szCs w:val="21"/>
              </w:rPr>
              <w:t>商</w:t>
            </w:r>
          </w:p>
          <w:p>
            <w:pPr>
              <w:jc w:val="center"/>
              <w:rPr>
                <w:szCs w:val="21"/>
              </w:rPr>
            </w:pPr>
            <w:r>
              <w:rPr>
                <w:szCs w:val="21"/>
              </w:rPr>
              <w:t>申</w:t>
            </w:r>
          </w:p>
          <w:p>
            <w:pPr>
              <w:jc w:val="center"/>
              <w:rPr>
                <w:szCs w:val="21"/>
              </w:rPr>
            </w:pPr>
            <w:r>
              <w:rPr>
                <w:szCs w:val="21"/>
              </w:rPr>
              <w:t>请</w:t>
            </w:r>
          </w:p>
        </w:tc>
        <w:tc>
          <w:tcPr>
            <w:tcW w:w="8640" w:type="dxa"/>
            <w:noWrap w:val="0"/>
            <w:vAlign w:val="center"/>
          </w:tcPr>
          <w:p>
            <w:pPr>
              <w:rPr>
                <w:szCs w:val="21"/>
              </w:rPr>
            </w:pPr>
            <w:r>
              <w:rPr>
                <w:szCs w:val="21"/>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008" w:type="dxa"/>
            <w:vMerge w:val="continue"/>
            <w:noWrap w:val="0"/>
            <w:vAlign w:val="center"/>
          </w:tcPr>
          <w:p>
            <w:pPr>
              <w:rPr>
                <w:szCs w:val="21"/>
              </w:rPr>
            </w:pPr>
          </w:p>
        </w:tc>
        <w:tc>
          <w:tcPr>
            <w:tcW w:w="8640" w:type="dxa"/>
            <w:noWrap w:val="0"/>
            <w:vAlign w:val="center"/>
          </w:tcPr>
          <w:p>
            <w:pPr>
              <w:rPr>
                <w:szCs w:val="21"/>
              </w:rPr>
            </w:pPr>
            <w:r>
              <w:rPr>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noWrap w:val="0"/>
            <w:vAlign w:val="top"/>
          </w:tcPr>
          <w:p>
            <w:pPr>
              <w:rPr>
                <w:szCs w:val="21"/>
              </w:rPr>
            </w:pPr>
          </w:p>
        </w:tc>
        <w:tc>
          <w:tcPr>
            <w:tcW w:w="8640" w:type="dxa"/>
            <w:noWrap w:val="0"/>
            <w:vAlign w:val="top"/>
          </w:tcPr>
          <w:p>
            <w:pPr>
              <w:rPr>
                <w:szCs w:val="21"/>
              </w:rPr>
            </w:pPr>
            <w:r>
              <w:rPr>
                <w:szCs w:val="21"/>
              </w:rPr>
              <w:t xml:space="preserve">  </w:t>
            </w:r>
          </w:p>
          <w:p>
            <w:pPr>
              <w:spacing w:line="400" w:lineRule="exact"/>
              <w:ind w:firstLine="420" w:firstLineChars="200"/>
              <w:rPr>
                <w:szCs w:val="21"/>
              </w:rPr>
            </w:pPr>
            <w:r>
              <w:rPr>
                <w:szCs w:val="21"/>
              </w:rPr>
              <w:t>该项目已于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日验收并交付使用。根据合同规定，该项目的履约保证金期限于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日已满，请将履约保证金</w:t>
            </w:r>
          </w:p>
          <w:p>
            <w:pPr>
              <w:spacing w:line="400" w:lineRule="exact"/>
              <w:rPr>
                <w:szCs w:val="21"/>
              </w:rPr>
            </w:pPr>
            <w:r>
              <w:rPr>
                <w:szCs w:val="21"/>
                <w:u w:val="single"/>
              </w:rPr>
              <w:t xml:space="preserve">                                        </w:t>
            </w:r>
            <w:r>
              <w:rPr>
                <w:szCs w:val="21"/>
              </w:rPr>
              <w:t>（大写）¥</w:t>
            </w:r>
            <w:r>
              <w:rPr>
                <w:szCs w:val="21"/>
                <w:u w:val="single"/>
              </w:rPr>
              <w:t xml:space="preserve">          </w:t>
            </w:r>
            <w:r>
              <w:rPr>
                <w:szCs w:val="21"/>
              </w:rPr>
              <w:t>（小写）退付到达以下账户。</w:t>
            </w:r>
          </w:p>
          <w:p>
            <w:pPr>
              <w:spacing w:line="400" w:lineRule="exact"/>
              <w:ind w:firstLine="705"/>
              <w:rPr>
                <w:szCs w:val="21"/>
              </w:rPr>
            </w:pPr>
            <w:r>
              <w:rPr>
                <w:szCs w:val="21"/>
              </w:rPr>
              <w:t>单位名称：</w:t>
            </w:r>
          </w:p>
          <w:p>
            <w:pPr>
              <w:spacing w:line="400" w:lineRule="exact"/>
              <w:ind w:firstLine="705"/>
              <w:rPr>
                <w:szCs w:val="21"/>
              </w:rPr>
            </w:pPr>
            <w:r>
              <w:rPr>
                <w:szCs w:val="21"/>
              </w:rPr>
              <w:t>开户银行：</w:t>
            </w:r>
          </w:p>
          <w:p>
            <w:pPr>
              <w:spacing w:line="400" w:lineRule="exact"/>
              <w:ind w:firstLine="705"/>
              <w:rPr>
                <w:szCs w:val="21"/>
              </w:rPr>
            </w:pPr>
            <w:r>
              <w:rPr>
                <w:szCs w:val="21"/>
              </w:rPr>
              <w:t>账   号：</w:t>
            </w:r>
          </w:p>
          <w:p>
            <w:pPr>
              <w:spacing w:line="400" w:lineRule="exact"/>
              <w:rPr>
                <w:szCs w:val="21"/>
              </w:rPr>
            </w:pPr>
            <w:r>
              <w:rPr>
                <w:szCs w:val="21"/>
              </w:rPr>
              <w:t>联系人及电话：</w:t>
            </w:r>
          </w:p>
          <w:p>
            <w:pPr>
              <w:spacing w:line="400" w:lineRule="exact"/>
              <w:rPr>
                <w:szCs w:val="21"/>
              </w:rPr>
            </w:pPr>
          </w:p>
          <w:p>
            <w:pPr>
              <w:spacing w:line="520" w:lineRule="exact"/>
              <w:jc w:val="center"/>
              <w:rPr>
                <w:szCs w:val="21"/>
              </w:rPr>
            </w:pPr>
            <w:r>
              <w:rPr>
                <w:szCs w:val="21"/>
              </w:rPr>
              <w:t xml:space="preserve">                                     供应商签章：</w:t>
            </w:r>
          </w:p>
          <w:p>
            <w:pPr>
              <w:spacing w:line="520" w:lineRule="exact"/>
              <w:jc w:val="center"/>
              <w:rPr>
                <w:szCs w:val="21"/>
              </w:rPr>
            </w:pPr>
            <w:r>
              <w:rPr>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szCs w:val="21"/>
              </w:rPr>
            </w:pPr>
            <w:r>
              <w:rPr>
                <w:szCs w:val="21"/>
              </w:rPr>
              <w:t>采</w:t>
            </w:r>
          </w:p>
          <w:p>
            <w:pPr>
              <w:jc w:val="center"/>
              <w:rPr>
                <w:szCs w:val="21"/>
              </w:rPr>
            </w:pPr>
            <w:r>
              <w:rPr>
                <w:szCs w:val="21"/>
              </w:rPr>
              <w:t>购</w:t>
            </w:r>
          </w:p>
          <w:p>
            <w:pPr>
              <w:jc w:val="center"/>
              <w:rPr>
                <w:szCs w:val="21"/>
              </w:rPr>
            </w:pPr>
            <w:r>
              <w:rPr>
                <w:szCs w:val="21"/>
              </w:rPr>
              <w:t>单</w:t>
            </w:r>
          </w:p>
          <w:p>
            <w:pPr>
              <w:jc w:val="center"/>
              <w:rPr>
                <w:szCs w:val="21"/>
              </w:rPr>
            </w:pPr>
            <w:r>
              <w:rPr>
                <w:szCs w:val="21"/>
              </w:rPr>
              <w:t>位</w:t>
            </w:r>
          </w:p>
          <w:p>
            <w:pPr>
              <w:jc w:val="center"/>
              <w:rPr>
                <w:szCs w:val="21"/>
              </w:rPr>
            </w:pPr>
            <w:r>
              <w:rPr>
                <w:szCs w:val="21"/>
              </w:rPr>
              <w:t>意</w:t>
            </w:r>
          </w:p>
          <w:p>
            <w:pPr>
              <w:jc w:val="center"/>
              <w:rPr>
                <w:szCs w:val="21"/>
              </w:rPr>
            </w:pPr>
            <w:r>
              <w:rPr>
                <w:szCs w:val="21"/>
              </w:rPr>
              <w:t>见</w:t>
            </w:r>
          </w:p>
        </w:tc>
        <w:tc>
          <w:tcPr>
            <w:tcW w:w="8640" w:type="dxa"/>
            <w:noWrap w:val="0"/>
            <w:vAlign w:val="top"/>
          </w:tcPr>
          <w:p>
            <w:pPr>
              <w:rPr>
                <w:szCs w:val="21"/>
              </w:rPr>
            </w:pPr>
          </w:p>
          <w:p>
            <w:pPr>
              <w:rPr>
                <w:szCs w:val="21"/>
              </w:rPr>
            </w:pPr>
            <w:r>
              <w:rPr>
                <w:szCs w:val="21"/>
              </w:rPr>
              <w:t>退付意见：是否同意退付履约保证金及退付金额：</w:t>
            </w:r>
          </w:p>
          <w:p>
            <w:pPr>
              <w:rPr>
                <w:szCs w:val="21"/>
              </w:rPr>
            </w:pPr>
          </w:p>
          <w:p>
            <w:pPr>
              <w:rPr>
                <w:szCs w:val="21"/>
              </w:rPr>
            </w:pPr>
          </w:p>
          <w:p>
            <w:pPr>
              <w:spacing w:line="520" w:lineRule="exact"/>
              <w:rPr>
                <w:szCs w:val="21"/>
              </w:rPr>
            </w:pPr>
            <w:r>
              <w:rPr>
                <w:szCs w:val="21"/>
              </w:rPr>
              <w:t>联系人及电话：                                 采购单位签章</w:t>
            </w:r>
          </w:p>
          <w:p>
            <w:pPr>
              <w:spacing w:line="520" w:lineRule="exact"/>
              <w:jc w:val="center"/>
              <w:rPr>
                <w:szCs w:val="21"/>
              </w:rPr>
            </w:pPr>
            <w:r>
              <w:rPr>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szCs w:val="21"/>
              </w:rPr>
            </w:pPr>
            <w:r>
              <w:rPr>
                <w:szCs w:val="21"/>
              </w:rPr>
              <w:t>财</w:t>
            </w:r>
          </w:p>
          <w:p>
            <w:pPr>
              <w:jc w:val="center"/>
              <w:rPr>
                <w:szCs w:val="21"/>
              </w:rPr>
            </w:pPr>
            <w:r>
              <w:rPr>
                <w:szCs w:val="21"/>
              </w:rPr>
              <w:t>务</w:t>
            </w:r>
          </w:p>
          <w:p>
            <w:pPr>
              <w:jc w:val="center"/>
              <w:rPr>
                <w:szCs w:val="21"/>
              </w:rPr>
            </w:pPr>
            <w:r>
              <w:rPr>
                <w:szCs w:val="21"/>
              </w:rPr>
              <w:t>部</w:t>
            </w:r>
          </w:p>
          <w:p>
            <w:pPr>
              <w:jc w:val="center"/>
              <w:rPr>
                <w:szCs w:val="21"/>
              </w:rPr>
            </w:pPr>
            <w:r>
              <w:rPr>
                <w:szCs w:val="21"/>
              </w:rPr>
              <w:t>门</w:t>
            </w:r>
          </w:p>
          <w:p>
            <w:pPr>
              <w:jc w:val="center"/>
              <w:rPr>
                <w:szCs w:val="21"/>
              </w:rPr>
            </w:pPr>
            <w:r>
              <w:rPr>
                <w:szCs w:val="21"/>
              </w:rPr>
              <w:t>意</w:t>
            </w:r>
          </w:p>
          <w:p>
            <w:pPr>
              <w:jc w:val="center"/>
              <w:rPr>
                <w:szCs w:val="21"/>
              </w:rPr>
            </w:pPr>
            <w:r>
              <w:rPr>
                <w:szCs w:val="21"/>
              </w:rPr>
              <w:t>见</w:t>
            </w:r>
          </w:p>
        </w:tc>
        <w:tc>
          <w:tcPr>
            <w:tcW w:w="8640" w:type="dxa"/>
            <w:noWrap w:val="0"/>
            <w:vAlign w:val="top"/>
          </w:tcPr>
          <w:p>
            <w:pPr>
              <w:spacing w:line="640" w:lineRule="exact"/>
              <w:rPr>
                <w:szCs w:val="21"/>
              </w:rPr>
            </w:pPr>
            <w:r>
              <w:rPr>
                <w:szCs w:val="21"/>
              </w:rPr>
              <w:t>此表于</w:t>
            </w:r>
            <w:r>
              <w:rPr>
                <w:szCs w:val="21"/>
                <w:u w:val="single"/>
              </w:rPr>
              <w:t xml:space="preserve">     </w:t>
            </w:r>
            <w:r>
              <w:rPr>
                <w:szCs w:val="21"/>
              </w:rPr>
              <w:t>年</w:t>
            </w:r>
            <w:r>
              <w:rPr>
                <w:szCs w:val="21"/>
                <w:u w:val="single"/>
              </w:rPr>
              <w:t xml:space="preserve">    </w:t>
            </w:r>
            <w:r>
              <w:rPr>
                <w:szCs w:val="21"/>
              </w:rPr>
              <w:t xml:space="preserve"> 月 </w:t>
            </w:r>
            <w:r>
              <w:rPr>
                <w:szCs w:val="21"/>
                <w:u w:val="single"/>
              </w:rPr>
              <w:t xml:space="preserve">   </w:t>
            </w:r>
            <w:r>
              <w:rPr>
                <w:szCs w:val="21"/>
              </w:rPr>
              <w:t xml:space="preserve"> 日收到。</w:t>
            </w:r>
          </w:p>
          <w:p>
            <w:pPr>
              <w:spacing w:line="640" w:lineRule="exact"/>
              <w:rPr>
                <w:szCs w:val="21"/>
              </w:rPr>
            </w:pPr>
            <w:r>
              <w:rPr>
                <w:szCs w:val="21"/>
              </w:rPr>
              <w:t>会计审核：</w:t>
            </w:r>
          </w:p>
          <w:p>
            <w:pPr>
              <w:spacing w:line="640" w:lineRule="exact"/>
              <w:rPr>
                <w:szCs w:val="21"/>
              </w:rPr>
            </w:pPr>
            <w:r>
              <w:rPr>
                <w:szCs w:val="21"/>
              </w:rPr>
              <w:t>财务负责人审核：</w:t>
            </w:r>
          </w:p>
          <w:p>
            <w:pPr>
              <w:spacing w:line="640" w:lineRule="exact"/>
              <w:rPr>
                <w:szCs w:val="21"/>
              </w:rPr>
            </w:pPr>
            <w:r>
              <w:rPr>
                <w:szCs w:val="21"/>
              </w:rPr>
              <w:t>单位负责人签字：</w:t>
            </w:r>
          </w:p>
          <w:p>
            <w:pPr>
              <w:spacing w:line="640" w:lineRule="exact"/>
              <w:rPr>
                <w:szCs w:val="21"/>
              </w:rPr>
            </w:pPr>
            <w:r>
              <w:rPr>
                <w:szCs w:val="21"/>
              </w:rPr>
              <w:t>出纳办理转账日期：</w:t>
            </w:r>
          </w:p>
        </w:tc>
      </w:tr>
    </w:tbl>
    <w:p>
      <w:pPr>
        <w:widowControl/>
        <w:jc w:val="left"/>
        <w:rPr>
          <w:b/>
          <w:bCs/>
          <w:szCs w:val="21"/>
        </w:rPr>
      </w:pPr>
      <w:r>
        <w:rPr>
          <w:b/>
          <w:bCs/>
          <w:sz w:val="21"/>
          <w:szCs w:val="21"/>
        </w:rPr>
        <w:t>注：供应商凭经采购单位审批的退付意见书到相关财务部办理履约保证金退付事宜。</w:t>
      </w:r>
      <w:r>
        <w:rPr>
          <w:b/>
          <w:bCs/>
          <w:szCs w:val="21"/>
        </w:rPr>
        <w:br w:type="page"/>
      </w:r>
    </w:p>
    <w:p>
      <w:pPr>
        <w:pStyle w:val="17"/>
        <w:ind w:left="450" w:leftChars="114" w:hanging="211" w:hangingChars="100"/>
        <w:outlineLvl w:val="1"/>
        <w:rPr>
          <w:b/>
          <w:bCs/>
          <w:sz w:val="21"/>
          <w:szCs w:val="21"/>
        </w:rPr>
      </w:pPr>
      <w:bookmarkStart w:id="45" w:name="_Hlk48144082"/>
      <w:r>
        <w:rPr>
          <w:rFonts w:hint="eastAsia"/>
          <w:b/>
          <w:bCs/>
          <w:sz w:val="21"/>
          <w:szCs w:val="21"/>
        </w:rPr>
        <w:t>合同附件5</w:t>
      </w:r>
    </w:p>
    <w:p>
      <w:pPr>
        <w:pStyle w:val="28"/>
        <w:snapToGrid w:val="0"/>
        <w:spacing w:before="120" w:after="120"/>
        <w:rPr>
          <w:rFonts w:ascii="Times New Roman" w:hAnsi="Times New Roman" w:cs="Times New Roman"/>
        </w:rPr>
      </w:pPr>
    </w:p>
    <w:p>
      <w:pPr>
        <w:widowControl/>
        <w:jc w:val="center"/>
        <w:rPr>
          <w:szCs w:val="21"/>
        </w:rPr>
      </w:pPr>
      <w:r>
        <w:rPr>
          <w:rFonts w:hint="eastAsia"/>
          <w:szCs w:val="21"/>
        </w:rPr>
        <w:t>商品包装政府采购需求标准（试行）</w:t>
      </w:r>
    </w:p>
    <w:p>
      <w:pPr>
        <w:widowControl/>
        <w:jc w:val="left"/>
        <w:rPr>
          <w:szCs w:val="21"/>
        </w:rPr>
      </w:pPr>
    </w:p>
    <w:p>
      <w:pPr>
        <w:autoSpaceDE w:val="0"/>
        <w:autoSpaceDN w:val="0"/>
        <w:adjustRightInd w:val="0"/>
        <w:spacing w:line="276" w:lineRule="auto"/>
        <w:ind w:firstLine="360" w:firstLineChars="150"/>
        <w:jc w:val="left"/>
        <w:rPr>
          <w:rFonts w:ascii="黑体" w:eastAsia="黑体" w:cs="黑体"/>
          <w:kern w:val="0"/>
          <w:sz w:val="24"/>
        </w:rPr>
      </w:pPr>
      <w:r>
        <w:rPr>
          <w:rFonts w:hint="eastAsia" w:ascii="黑体" w:eastAsia="黑体" w:cs="黑体"/>
          <w:kern w:val="0"/>
          <w:sz w:val="24"/>
        </w:rPr>
        <w:t>一、适用范围</w:t>
      </w:r>
    </w:p>
    <w:p>
      <w:pPr>
        <w:autoSpaceDE w:val="0"/>
        <w:autoSpaceDN w:val="0"/>
        <w:adjustRightInd w:val="0"/>
        <w:spacing w:line="276" w:lineRule="auto"/>
        <w:ind w:firstLine="360" w:firstLineChars="150"/>
        <w:jc w:val="left"/>
        <w:rPr>
          <w:rFonts w:ascii="仿宋" w:eastAsia="仿宋" w:cs="仿宋"/>
          <w:kern w:val="0"/>
          <w:sz w:val="24"/>
        </w:rPr>
      </w:pPr>
      <w:r>
        <w:rPr>
          <w:rFonts w:hint="eastAsia" w:ascii="仿宋" w:eastAsia="仿宋" w:cs="仿宋"/>
          <w:kern w:val="0"/>
          <w:sz w:val="24"/>
        </w:rPr>
        <w:t>本标准规定了商品使用的塑料、纸质、木质等包装材料的环保要求。</w:t>
      </w:r>
    </w:p>
    <w:p>
      <w:pPr>
        <w:autoSpaceDE w:val="0"/>
        <w:autoSpaceDN w:val="0"/>
        <w:adjustRightInd w:val="0"/>
        <w:spacing w:line="276" w:lineRule="auto"/>
        <w:ind w:firstLine="360" w:firstLineChars="150"/>
        <w:jc w:val="left"/>
        <w:rPr>
          <w:rFonts w:ascii="黑体" w:eastAsia="黑体" w:cs="黑体"/>
          <w:kern w:val="0"/>
          <w:sz w:val="24"/>
        </w:rPr>
      </w:pPr>
      <w:r>
        <w:rPr>
          <w:rFonts w:hint="eastAsia" w:ascii="黑体" w:eastAsia="黑体" w:cs="黑体"/>
          <w:kern w:val="0"/>
          <w:sz w:val="24"/>
        </w:rPr>
        <w:t>二、商品包装环保要求</w:t>
      </w:r>
    </w:p>
    <w:p>
      <w:pPr>
        <w:autoSpaceDE w:val="0"/>
        <w:autoSpaceDN w:val="0"/>
        <w:adjustRightInd w:val="0"/>
        <w:spacing w:line="276" w:lineRule="auto"/>
        <w:ind w:firstLine="360" w:firstLineChars="150"/>
        <w:jc w:val="left"/>
        <w:rPr>
          <w:rFonts w:ascii="仿宋" w:eastAsia="仿宋" w:cs="仿宋"/>
          <w:kern w:val="0"/>
          <w:sz w:val="24"/>
        </w:rPr>
      </w:pPr>
      <w:r>
        <w:rPr>
          <w:rFonts w:ascii="仿宋" w:eastAsia="仿宋" w:cs="仿宋"/>
          <w:kern w:val="0"/>
          <w:sz w:val="24"/>
        </w:rPr>
        <w:t>1.</w:t>
      </w:r>
      <w:r>
        <w:rPr>
          <w:rFonts w:hint="eastAsia" w:ascii="仿宋" w:eastAsia="仿宋" w:cs="仿宋"/>
          <w:kern w:val="0"/>
          <w:sz w:val="24"/>
        </w:rPr>
        <w:t>商品包装层数不得超过</w:t>
      </w:r>
      <w:r>
        <w:rPr>
          <w:rFonts w:ascii="仿宋" w:eastAsia="仿宋" w:cs="仿宋"/>
          <w:kern w:val="0"/>
          <w:sz w:val="24"/>
        </w:rPr>
        <w:t xml:space="preserve">3 </w:t>
      </w:r>
      <w:r>
        <w:rPr>
          <w:rFonts w:hint="eastAsia" w:ascii="仿宋" w:eastAsia="仿宋" w:cs="仿宋"/>
          <w:kern w:val="0"/>
          <w:sz w:val="24"/>
        </w:rPr>
        <w:t>层，空隙率不大于</w:t>
      </w:r>
      <w:r>
        <w:rPr>
          <w:rFonts w:ascii="仿宋" w:eastAsia="仿宋" w:cs="仿宋"/>
          <w:kern w:val="0"/>
          <w:sz w:val="24"/>
        </w:rPr>
        <w:t>40%</w:t>
      </w:r>
      <w:r>
        <w:rPr>
          <w:rFonts w:hint="eastAsia" w:ascii="仿宋" w:eastAsia="仿宋" w:cs="仿宋"/>
          <w:kern w:val="0"/>
          <w:sz w:val="24"/>
        </w:rPr>
        <w:t>；</w:t>
      </w:r>
    </w:p>
    <w:p>
      <w:pPr>
        <w:autoSpaceDE w:val="0"/>
        <w:autoSpaceDN w:val="0"/>
        <w:adjustRightInd w:val="0"/>
        <w:spacing w:line="276" w:lineRule="auto"/>
        <w:ind w:firstLine="360" w:firstLineChars="150"/>
        <w:jc w:val="left"/>
        <w:rPr>
          <w:rFonts w:ascii="仿宋" w:eastAsia="仿宋" w:cs="仿宋"/>
          <w:kern w:val="0"/>
          <w:sz w:val="24"/>
        </w:rPr>
      </w:pPr>
      <w:r>
        <w:rPr>
          <w:rFonts w:ascii="仿宋" w:eastAsia="仿宋" w:cs="仿宋"/>
          <w:kern w:val="0"/>
          <w:sz w:val="24"/>
        </w:rPr>
        <w:t>2.</w:t>
      </w:r>
      <w:r>
        <w:rPr>
          <w:rFonts w:hint="eastAsia" w:ascii="仿宋" w:eastAsia="仿宋" w:cs="仿宋"/>
          <w:kern w:val="0"/>
          <w:sz w:val="24"/>
        </w:rPr>
        <w:t>商品包装尽可能使用单一材质的包装材料，如因功能需求必需使用不同材质，不同材质间应便于分离；</w:t>
      </w:r>
    </w:p>
    <w:p>
      <w:pPr>
        <w:autoSpaceDE w:val="0"/>
        <w:autoSpaceDN w:val="0"/>
        <w:adjustRightInd w:val="0"/>
        <w:spacing w:line="276" w:lineRule="auto"/>
        <w:ind w:firstLine="360" w:firstLineChars="150"/>
        <w:jc w:val="left"/>
        <w:rPr>
          <w:rFonts w:ascii="仿宋" w:eastAsia="仿宋" w:cs="仿宋"/>
          <w:kern w:val="0"/>
          <w:sz w:val="24"/>
        </w:rPr>
      </w:pPr>
      <w:r>
        <w:rPr>
          <w:rFonts w:ascii="仿宋" w:eastAsia="仿宋" w:cs="仿宋"/>
          <w:kern w:val="0"/>
          <w:sz w:val="24"/>
        </w:rPr>
        <w:t>3.</w:t>
      </w:r>
      <w:r>
        <w:rPr>
          <w:rFonts w:hint="eastAsia" w:ascii="仿宋" w:eastAsia="仿宋" w:cs="仿宋"/>
          <w:kern w:val="0"/>
          <w:sz w:val="24"/>
        </w:rPr>
        <w:t>商品包装中铅、汞、镉、六价铬的总含量应不大于</w:t>
      </w:r>
      <w:r>
        <w:rPr>
          <w:rFonts w:ascii="仿宋" w:eastAsia="仿宋" w:cs="仿宋"/>
          <w:kern w:val="0"/>
          <w:sz w:val="24"/>
        </w:rPr>
        <w:t>100mg/kg</w:t>
      </w:r>
      <w:r>
        <w:rPr>
          <w:rFonts w:hint="eastAsia" w:ascii="仿宋" w:eastAsia="仿宋" w:cs="仿宋"/>
          <w:kern w:val="0"/>
          <w:sz w:val="24"/>
        </w:rPr>
        <w:t>；</w:t>
      </w:r>
    </w:p>
    <w:p>
      <w:pPr>
        <w:autoSpaceDE w:val="0"/>
        <w:autoSpaceDN w:val="0"/>
        <w:adjustRightInd w:val="0"/>
        <w:spacing w:line="276" w:lineRule="auto"/>
        <w:ind w:firstLine="360" w:firstLineChars="150"/>
        <w:jc w:val="left"/>
        <w:rPr>
          <w:rFonts w:ascii="仿宋" w:eastAsia="仿宋" w:cs="仿宋"/>
          <w:kern w:val="0"/>
          <w:sz w:val="24"/>
        </w:rPr>
      </w:pPr>
      <w:r>
        <w:rPr>
          <w:rFonts w:ascii="仿宋" w:eastAsia="仿宋" w:cs="仿宋"/>
          <w:kern w:val="0"/>
          <w:sz w:val="24"/>
        </w:rPr>
        <w:t>4.</w:t>
      </w:r>
      <w:r>
        <w:rPr>
          <w:rFonts w:hint="eastAsia" w:ascii="仿宋" w:eastAsia="仿宋" w:cs="仿宋"/>
          <w:kern w:val="0"/>
          <w:sz w:val="24"/>
        </w:rPr>
        <w:t>商品包装印刷使用的油墨中挥发性有机化合物</w:t>
      </w:r>
      <w:r>
        <w:rPr>
          <w:rFonts w:ascii="仿宋" w:eastAsia="仿宋" w:cs="仿宋"/>
          <w:kern w:val="0"/>
          <w:sz w:val="24"/>
        </w:rPr>
        <w:t>(VOCs)</w:t>
      </w:r>
      <w:r>
        <w:rPr>
          <w:rFonts w:hint="eastAsia" w:ascii="仿宋" w:eastAsia="仿宋" w:cs="仿宋"/>
          <w:kern w:val="0"/>
          <w:sz w:val="24"/>
        </w:rPr>
        <w:t>含量应不大于</w:t>
      </w:r>
      <w:r>
        <w:rPr>
          <w:rFonts w:ascii="仿宋" w:eastAsia="仿宋" w:cs="仿宋"/>
          <w:kern w:val="0"/>
          <w:sz w:val="24"/>
        </w:rPr>
        <w:t>5%</w:t>
      </w:r>
      <w:r>
        <w:rPr>
          <w:rFonts w:hint="eastAsia" w:ascii="仿宋" w:eastAsia="仿宋" w:cs="仿宋"/>
          <w:kern w:val="0"/>
          <w:sz w:val="24"/>
        </w:rPr>
        <w:t>（以重量计）；</w:t>
      </w:r>
    </w:p>
    <w:p>
      <w:pPr>
        <w:autoSpaceDE w:val="0"/>
        <w:autoSpaceDN w:val="0"/>
        <w:adjustRightInd w:val="0"/>
        <w:spacing w:line="276" w:lineRule="auto"/>
        <w:ind w:firstLine="360" w:firstLineChars="150"/>
        <w:jc w:val="left"/>
        <w:rPr>
          <w:rFonts w:ascii="仿宋" w:eastAsia="仿宋" w:cs="仿宋"/>
          <w:kern w:val="0"/>
          <w:sz w:val="24"/>
        </w:rPr>
      </w:pPr>
      <w:r>
        <w:rPr>
          <w:rFonts w:ascii="仿宋" w:eastAsia="仿宋" w:cs="仿宋"/>
          <w:kern w:val="0"/>
          <w:sz w:val="24"/>
        </w:rPr>
        <w:t>5.</w:t>
      </w:r>
      <w:r>
        <w:rPr>
          <w:rFonts w:hint="eastAsia" w:ascii="仿宋" w:eastAsia="仿宋" w:cs="仿宋"/>
          <w:kern w:val="0"/>
          <w:sz w:val="24"/>
        </w:rPr>
        <w:t>塑料材质商品包装上呈现的印刷颜色不得超过</w:t>
      </w:r>
      <w:r>
        <w:rPr>
          <w:rFonts w:ascii="仿宋" w:eastAsia="仿宋" w:cs="仿宋"/>
          <w:kern w:val="0"/>
          <w:sz w:val="24"/>
        </w:rPr>
        <w:t xml:space="preserve">6 </w:t>
      </w:r>
      <w:r>
        <w:rPr>
          <w:rFonts w:hint="eastAsia" w:ascii="仿宋" w:eastAsia="仿宋" w:cs="仿宋"/>
          <w:kern w:val="0"/>
          <w:sz w:val="24"/>
        </w:rPr>
        <w:t>色；</w:t>
      </w:r>
    </w:p>
    <w:p>
      <w:pPr>
        <w:autoSpaceDE w:val="0"/>
        <w:autoSpaceDN w:val="0"/>
        <w:adjustRightInd w:val="0"/>
        <w:spacing w:line="276" w:lineRule="auto"/>
        <w:ind w:firstLine="360" w:firstLineChars="150"/>
        <w:jc w:val="left"/>
        <w:rPr>
          <w:rFonts w:ascii="仿宋" w:eastAsia="仿宋" w:cs="仿宋"/>
          <w:kern w:val="0"/>
          <w:sz w:val="24"/>
        </w:rPr>
      </w:pPr>
      <w:r>
        <w:rPr>
          <w:rFonts w:ascii="仿宋" w:eastAsia="仿宋" w:cs="仿宋"/>
          <w:kern w:val="0"/>
          <w:sz w:val="24"/>
        </w:rPr>
        <w:t>6.</w:t>
      </w:r>
      <w:r>
        <w:rPr>
          <w:rFonts w:hint="eastAsia" w:ascii="仿宋" w:eastAsia="仿宋" w:cs="仿宋"/>
          <w:kern w:val="0"/>
          <w:sz w:val="24"/>
        </w:rPr>
        <w:t>纸质商品包装应使用</w:t>
      </w:r>
      <w:r>
        <w:rPr>
          <w:rFonts w:ascii="仿宋" w:eastAsia="仿宋" w:cs="仿宋"/>
          <w:kern w:val="0"/>
          <w:sz w:val="24"/>
        </w:rPr>
        <w:t>75%</w:t>
      </w:r>
      <w:r>
        <w:rPr>
          <w:rFonts w:hint="eastAsia" w:ascii="仿宋" w:eastAsia="仿宋" w:cs="仿宋"/>
          <w:kern w:val="0"/>
          <w:sz w:val="24"/>
        </w:rPr>
        <w:t>以上的可再生纤维原料生产；</w:t>
      </w:r>
    </w:p>
    <w:p>
      <w:pPr>
        <w:autoSpaceDE w:val="0"/>
        <w:autoSpaceDN w:val="0"/>
        <w:adjustRightInd w:val="0"/>
        <w:spacing w:line="276" w:lineRule="auto"/>
        <w:ind w:firstLine="360" w:firstLineChars="150"/>
        <w:jc w:val="left"/>
        <w:rPr>
          <w:rFonts w:ascii="仿宋" w:eastAsia="仿宋" w:cs="仿宋"/>
          <w:kern w:val="0"/>
          <w:sz w:val="24"/>
        </w:rPr>
      </w:pPr>
      <w:r>
        <w:rPr>
          <w:rFonts w:ascii="仿宋" w:eastAsia="仿宋" w:cs="仿宋"/>
          <w:kern w:val="0"/>
          <w:sz w:val="24"/>
        </w:rPr>
        <w:t>7.</w:t>
      </w:r>
      <w:r>
        <w:rPr>
          <w:rFonts w:hint="eastAsia" w:ascii="仿宋" w:eastAsia="仿宋" w:cs="仿宋"/>
          <w:kern w:val="0"/>
          <w:sz w:val="24"/>
        </w:rPr>
        <w:t>木质商品包装的原料应来源于可持续性森林。</w:t>
      </w:r>
    </w:p>
    <w:p>
      <w:pPr>
        <w:autoSpaceDE w:val="0"/>
        <w:autoSpaceDN w:val="0"/>
        <w:adjustRightInd w:val="0"/>
        <w:spacing w:line="276" w:lineRule="auto"/>
        <w:ind w:firstLine="360" w:firstLineChars="150"/>
        <w:jc w:val="left"/>
        <w:rPr>
          <w:rFonts w:ascii="黑体" w:eastAsia="黑体" w:cs="黑体"/>
          <w:kern w:val="0"/>
          <w:sz w:val="24"/>
        </w:rPr>
      </w:pPr>
      <w:r>
        <w:rPr>
          <w:rFonts w:hint="eastAsia" w:ascii="黑体" w:eastAsia="黑体" w:cs="黑体"/>
          <w:kern w:val="0"/>
          <w:sz w:val="24"/>
        </w:rPr>
        <w:t>三、检测方法</w:t>
      </w:r>
    </w:p>
    <w:p>
      <w:pPr>
        <w:autoSpaceDE w:val="0"/>
        <w:autoSpaceDN w:val="0"/>
        <w:adjustRightInd w:val="0"/>
        <w:spacing w:line="276" w:lineRule="auto"/>
        <w:ind w:firstLine="360" w:firstLineChars="150"/>
        <w:jc w:val="left"/>
        <w:rPr>
          <w:rFonts w:ascii="仿宋" w:eastAsia="仿宋" w:cs="仿宋"/>
          <w:kern w:val="0"/>
          <w:sz w:val="24"/>
        </w:rPr>
      </w:pPr>
      <w:r>
        <w:rPr>
          <w:rFonts w:ascii="仿宋" w:eastAsia="仿宋" w:cs="仿宋"/>
          <w:kern w:val="0"/>
          <w:sz w:val="24"/>
        </w:rPr>
        <w:t>1.</w:t>
      </w:r>
      <w:r>
        <w:rPr>
          <w:rFonts w:hint="eastAsia" w:ascii="仿宋" w:eastAsia="仿宋" w:cs="仿宋"/>
          <w:kern w:val="0"/>
          <w:sz w:val="24"/>
        </w:rPr>
        <w:t>商品包装中重金属（铅、汞、镉、六价铬）总量的检测按照</w:t>
      </w:r>
      <w:r>
        <w:rPr>
          <w:rFonts w:ascii="仿宋" w:eastAsia="仿宋" w:cs="仿宋"/>
          <w:kern w:val="0"/>
          <w:sz w:val="24"/>
        </w:rPr>
        <w:t>GB/T 10004-2008</w:t>
      </w:r>
      <w:r>
        <w:rPr>
          <w:rFonts w:hint="eastAsia" w:ascii="仿宋" w:eastAsia="仿宋" w:cs="仿宋"/>
          <w:kern w:val="0"/>
          <w:sz w:val="24"/>
        </w:rPr>
        <w:t>《包装用塑料复合膜、袋干法复合、挤出复合》规定的方法进行。</w:t>
      </w:r>
    </w:p>
    <w:p>
      <w:pPr>
        <w:autoSpaceDE w:val="0"/>
        <w:autoSpaceDN w:val="0"/>
        <w:adjustRightInd w:val="0"/>
        <w:spacing w:line="276" w:lineRule="auto"/>
        <w:ind w:firstLine="360" w:firstLineChars="150"/>
        <w:jc w:val="left"/>
        <w:rPr>
          <w:rFonts w:ascii="仿宋" w:eastAsia="仿宋" w:cs="仿宋"/>
          <w:kern w:val="0"/>
          <w:sz w:val="24"/>
        </w:rPr>
      </w:pPr>
      <w:r>
        <w:rPr>
          <w:rFonts w:ascii="仿宋" w:eastAsia="仿宋" w:cs="仿宋"/>
          <w:kern w:val="0"/>
          <w:sz w:val="24"/>
        </w:rPr>
        <w:t>2.</w:t>
      </w:r>
      <w:r>
        <w:rPr>
          <w:rFonts w:hint="eastAsia" w:ascii="仿宋" w:eastAsia="仿宋" w:cs="仿宋"/>
          <w:kern w:val="0"/>
          <w:sz w:val="24"/>
        </w:rPr>
        <w:t>商品包装印刷使用的油墨中挥发性有机化合物</w:t>
      </w:r>
      <w:r>
        <w:rPr>
          <w:rFonts w:ascii="仿宋" w:eastAsia="仿宋" w:cs="仿宋"/>
          <w:kern w:val="0"/>
          <w:sz w:val="24"/>
        </w:rPr>
        <w:t>(VOCs)</w:t>
      </w:r>
      <w:r>
        <w:rPr>
          <w:rFonts w:hint="eastAsia" w:ascii="仿宋" w:eastAsia="仿宋" w:cs="仿宋"/>
          <w:kern w:val="0"/>
          <w:sz w:val="24"/>
        </w:rPr>
        <w:t>的检测按照</w:t>
      </w:r>
      <w:r>
        <w:rPr>
          <w:rFonts w:ascii="仿宋" w:eastAsia="仿宋" w:cs="仿宋"/>
          <w:kern w:val="0"/>
          <w:sz w:val="24"/>
        </w:rPr>
        <w:t>GB/T 23986-2009</w:t>
      </w:r>
      <w:r>
        <w:rPr>
          <w:rFonts w:hint="eastAsia" w:ascii="仿宋" w:eastAsia="仿宋" w:cs="仿宋"/>
          <w:kern w:val="0"/>
          <w:sz w:val="24"/>
        </w:rPr>
        <w:t>《色漆和清漆挥发性有机化合物</w:t>
      </w:r>
      <w:r>
        <w:rPr>
          <w:rFonts w:ascii="仿宋" w:eastAsia="仿宋" w:cs="仿宋"/>
          <w:kern w:val="0"/>
          <w:sz w:val="24"/>
        </w:rPr>
        <w:t>(VOC)</w:t>
      </w:r>
      <w:r>
        <w:rPr>
          <w:rFonts w:hint="eastAsia" w:ascii="仿宋" w:eastAsia="仿宋" w:cs="仿宋"/>
          <w:kern w:val="0"/>
          <w:sz w:val="24"/>
        </w:rPr>
        <w:t>含量的测定气相色谱法》规定的方法进行。</w:t>
      </w:r>
    </w:p>
    <w:p>
      <w:pPr>
        <w:widowControl/>
        <w:jc w:val="left"/>
        <w:rPr>
          <w:rFonts w:ascii="仿宋" w:eastAsia="仿宋" w:cs="仿宋"/>
          <w:kern w:val="0"/>
          <w:sz w:val="24"/>
        </w:rPr>
      </w:pPr>
      <w:r>
        <w:rPr>
          <w:rFonts w:ascii="仿宋" w:eastAsia="仿宋" w:cs="仿宋"/>
          <w:kern w:val="0"/>
          <w:sz w:val="24"/>
        </w:rPr>
        <w:br w:type="page"/>
      </w:r>
    </w:p>
    <w:p>
      <w:pPr>
        <w:pStyle w:val="17"/>
        <w:ind w:left="450" w:leftChars="114" w:hanging="211" w:hangingChars="100"/>
        <w:outlineLvl w:val="1"/>
        <w:rPr>
          <w:b/>
          <w:bCs/>
          <w:sz w:val="21"/>
          <w:szCs w:val="21"/>
        </w:rPr>
      </w:pPr>
      <w:r>
        <w:rPr>
          <w:rFonts w:hint="eastAsia"/>
          <w:b/>
          <w:bCs/>
          <w:sz w:val="21"/>
          <w:szCs w:val="21"/>
        </w:rPr>
        <w:t>合同附件</w:t>
      </w:r>
      <w:r>
        <w:rPr>
          <w:b/>
          <w:bCs/>
          <w:sz w:val="21"/>
          <w:szCs w:val="21"/>
        </w:rPr>
        <w:t>6</w:t>
      </w:r>
    </w:p>
    <w:p>
      <w:pPr>
        <w:widowControl/>
        <w:jc w:val="center"/>
        <w:rPr>
          <w:szCs w:val="21"/>
        </w:rPr>
      </w:pPr>
      <w:r>
        <w:rPr>
          <w:rFonts w:hint="eastAsia"/>
          <w:szCs w:val="21"/>
        </w:rPr>
        <w:t>快递包装政府采购需求标准（试行）</w:t>
      </w:r>
    </w:p>
    <w:p>
      <w:pPr>
        <w:autoSpaceDE w:val="0"/>
        <w:autoSpaceDN w:val="0"/>
        <w:adjustRightInd w:val="0"/>
        <w:ind w:firstLine="420" w:firstLineChars="200"/>
        <w:jc w:val="left"/>
        <w:rPr>
          <w:rFonts w:ascii="黑体" w:eastAsia="黑体" w:cs="黑体"/>
          <w:kern w:val="0"/>
          <w:szCs w:val="21"/>
        </w:rPr>
      </w:pPr>
    </w:p>
    <w:p>
      <w:pPr>
        <w:autoSpaceDE w:val="0"/>
        <w:autoSpaceDN w:val="0"/>
        <w:adjustRightInd w:val="0"/>
        <w:ind w:firstLine="480" w:firstLineChars="200"/>
        <w:jc w:val="left"/>
        <w:rPr>
          <w:rFonts w:ascii="黑体" w:eastAsia="黑体" w:cs="黑体"/>
          <w:kern w:val="0"/>
          <w:sz w:val="24"/>
        </w:rPr>
      </w:pPr>
      <w:r>
        <w:rPr>
          <w:rFonts w:hint="eastAsia" w:ascii="黑体" w:eastAsia="黑体" w:cs="黑体"/>
          <w:kern w:val="0"/>
          <w:sz w:val="24"/>
        </w:rPr>
        <w:t>一、适用范围</w:t>
      </w:r>
    </w:p>
    <w:p>
      <w:pPr>
        <w:autoSpaceDE w:val="0"/>
        <w:autoSpaceDN w:val="0"/>
        <w:adjustRightInd w:val="0"/>
        <w:ind w:firstLine="480" w:firstLineChars="200"/>
        <w:jc w:val="left"/>
        <w:rPr>
          <w:rFonts w:ascii="仿宋" w:eastAsia="仿宋" w:cs="仿宋"/>
          <w:kern w:val="0"/>
          <w:sz w:val="24"/>
        </w:rPr>
      </w:pPr>
      <w:r>
        <w:rPr>
          <w:rFonts w:hint="eastAsia" w:ascii="仿宋" w:eastAsia="仿宋" w:cs="仿宋"/>
          <w:kern w:val="0"/>
          <w:sz w:val="24"/>
        </w:rPr>
        <w:t>本标准中的快递包装主要指快递封装材料，包括封套、胶带、面单、包装袋</w:t>
      </w:r>
      <w:r>
        <w:rPr>
          <w:rFonts w:ascii="仿宋" w:eastAsia="仿宋" w:cs="仿宋"/>
          <w:kern w:val="0"/>
          <w:sz w:val="24"/>
        </w:rPr>
        <w:t>/</w:t>
      </w:r>
      <w:r>
        <w:rPr>
          <w:rFonts w:hint="eastAsia" w:ascii="仿宋" w:eastAsia="仿宋" w:cs="仿宋"/>
          <w:kern w:val="0"/>
          <w:sz w:val="24"/>
        </w:rPr>
        <w:t>箱、填充物、集装袋、周转箱等。</w:t>
      </w:r>
    </w:p>
    <w:p>
      <w:pPr>
        <w:autoSpaceDE w:val="0"/>
        <w:autoSpaceDN w:val="0"/>
        <w:adjustRightInd w:val="0"/>
        <w:ind w:firstLine="480" w:firstLineChars="200"/>
        <w:jc w:val="left"/>
        <w:rPr>
          <w:rFonts w:ascii="黑体" w:eastAsia="黑体" w:cs="黑体"/>
          <w:kern w:val="0"/>
          <w:sz w:val="24"/>
        </w:rPr>
      </w:pPr>
      <w:r>
        <w:rPr>
          <w:rFonts w:hint="eastAsia" w:ascii="黑体" w:eastAsia="黑体" w:cs="黑体"/>
          <w:kern w:val="0"/>
          <w:sz w:val="24"/>
        </w:rPr>
        <w:t>二、快递包装环保要求</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1.</w:t>
      </w:r>
      <w:r>
        <w:rPr>
          <w:rFonts w:hint="eastAsia" w:ascii="仿宋" w:eastAsia="仿宋" w:cs="仿宋"/>
          <w:kern w:val="0"/>
          <w:sz w:val="24"/>
        </w:rPr>
        <w:t>快递包装中重金属（铅、汞、镉、六价铬）总量应不大于</w:t>
      </w:r>
      <w:r>
        <w:rPr>
          <w:rFonts w:ascii="仿宋" w:eastAsia="仿宋" w:cs="仿宋"/>
          <w:kern w:val="0"/>
          <w:sz w:val="24"/>
        </w:rPr>
        <w:t>100mg/kg</w:t>
      </w:r>
      <w:r>
        <w:rPr>
          <w:rFonts w:hint="eastAsia" w:ascii="仿宋" w:eastAsia="仿宋" w:cs="仿宋"/>
          <w:kern w:val="0"/>
          <w:sz w:val="24"/>
        </w:rPr>
        <w:t>；</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2.</w:t>
      </w:r>
      <w:r>
        <w:rPr>
          <w:rFonts w:hint="eastAsia" w:ascii="仿宋" w:eastAsia="仿宋" w:cs="仿宋"/>
          <w:kern w:val="0"/>
          <w:sz w:val="24"/>
        </w:rPr>
        <w:t>快递包装印刷使用的油墨中不应添加邻苯二甲酸酯，其挥发性有机化合物</w:t>
      </w:r>
      <w:r>
        <w:rPr>
          <w:rFonts w:ascii="仿宋" w:eastAsia="仿宋" w:cs="仿宋"/>
          <w:kern w:val="0"/>
          <w:sz w:val="24"/>
        </w:rPr>
        <w:t>(VOCs)</w:t>
      </w:r>
      <w:r>
        <w:rPr>
          <w:rFonts w:hint="eastAsia" w:ascii="仿宋" w:eastAsia="仿宋" w:cs="仿宋"/>
          <w:kern w:val="0"/>
          <w:sz w:val="24"/>
        </w:rPr>
        <w:t>含量应不大于</w:t>
      </w:r>
      <w:r>
        <w:rPr>
          <w:rFonts w:ascii="仿宋" w:eastAsia="仿宋" w:cs="仿宋"/>
          <w:kern w:val="0"/>
          <w:sz w:val="24"/>
        </w:rPr>
        <w:t>5%</w:t>
      </w:r>
      <w:r>
        <w:rPr>
          <w:rFonts w:hint="eastAsia" w:ascii="仿宋" w:eastAsia="仿宋" w:cs="仿宋"/>
          <w:kern w:val="0"/>
          <w:sz w:val="24"/>
        </w:rPr>
        <w:t>（以重量计）；</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3.</w:t>
      </w:r>
      <w:r>
        <w:rPr>
          <w:rFonts w:hint="eastAsia" w:ascii="仿宋" w:eastAsia="仿宋" w:cs="仿宋"/>
          <w:kern w:val="0"/>
          <w:sz w:val="24"/>
        </w:rPr>
        <w:t>快递包装中使用纸基材的包装材料，纸基材中的有机氯的含量应不大于</w:t>
      </w:r>
      <w:r>
        <w:rPr>
          <w:rFonts w:ascii="仿宋" w:eastAsia="仿宋" w:cs="仿宋"/>
          <w:kern w:val="0"/>
          <w:sz w:val="24"/>
        </w:rPr>
        <w:t>150 mg/kg</w:t>
      </w:r>
      <w:r>
        <w:rPr>
          <w:rFonts w:hint="eastAsia" w:ascii="仿宋" w:eastAsia="仿宋" w:cs="仿宋"/>
          <w:kern w:val="0"/>
          <w:sz w:val="24"/>
        </w:rPr>
        <w:t>；</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4.</w:t>
      </w:r>
      <w:r>
        <w:rPr>
          <w:rFonts w:hint="eastAsia" w:ascii="仿宋" w:eastAsia="仿宋" w:cs="仿宋"/>
          <w:kern w:val="0"/>
          <w:sz w:val="24"/>
        </w:rPr>
        <w:t>快递包装中使用塑料基材的包装材料不得使用邻苯二甲酸二异壬酯、邻苯二甲酸二正辛酯、邻苯二甲酸二</w:t>
      </w:r>
      <w:r>
        <w:rPr>
          <w:rFonts w:ascii="仿宋" w:eastAsia="仿宋" w:cs="仿宋"/>
          <w:kern w:val="0"/>
          <w:sz w:val="24"/>
        </w:rPr>
        <w:t>(2-</w:t>
      </w:r>
      <w:r>
        <w:rPr>
          <w:rFonts w:hint="eastAsia" w:ascii="仿宋" w:eastAsia="仿宋" w:cs="仿宋"/>
          <w:kern w:val="0"/>
          <w:sz w:val="24"/>
        </w:rPr>
        <w:t>乙基</w:t>
      </w:r>
      <w:r>
        <w:rPr>
          <w:rFonts w:ascii="仿宋" w:eastAsia="仿宋" w:cs="仿宋"/>
          <w:kern w:val="0"/>
          <w:sz w:val="24"/>
        </w:rPr>
        <w:t>)</w:t>
      </w:r>
      <w:r>
        <w:rPr>
          <w:rFonts w:hint="eastAsia" w:ascii="仿宋" w:eastAsia="仿宋" w:cs="仿宋"/>
          <w:kern w:val="0"/>
          <w:sz w:val="24"/>
        </w:rPr>
        <w:t>己酯、邻苯二甲酸二异癸酯、邻苯二甲酸丁基苄基酯、邻苯二甲酸二丁酯等作为增塑剂；</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5.</w:t>
      </w:r>
      <w:r>
        <w:rPr>
          <w:rFonts w:hint="eastAsia" w:ascii="仿宋" w:eastAsia="仿宋" w:cs="仿宋"/>
          <w:kern w:val="0"/>
          <w:sz w:val="24"/>
        </w:rPr>
        <w:t>快递中使用的塑料包装袋不得使用聚氯乙烯作为原料，且原料应为单一材质制成，生物分解率大于</w:t>
      </w:r>
      <w:r>
        <w:rPr>
          <w:rFonts w:ascii="仿宋" w:eastAsia="仿宋" w:cs="仿宋"/>
          <w:kern w:val="0"/>
          <w:sz w:val="24"/>
        </w:rPr>
        <w:t>60%</w:t>
      </w:r>
      <w:r>
        <w:rPr>
          <w:rFonts w:hint="eastAsia" w:ascii="仿宋" w:eastAsia="仿宋" w:cs="仿宋"/>
          <w:kern w:val="0"/>
          <w:sz w:val="24"/>
        </w:rPr>
        <w:t>；</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6.</w:t>
      </w:r>
      <w:r>
        <w:rPr>
          <w:rFonts w:hint="eastAsia" w:ascii="仿宋" w:eastAsia="仿宋" w:cs="仿宋"/>
          <w:kern w:val="0"/>
          <w:sz w:val="24"/>
        </w:rPr>
        <w:t>快递中使用的充气类填充物不得使用聚氯乙烯作为原料，且原料为单一材质制成，生物分解率大于</w:t>
      </w:r>
      <w:r>
        <w:rPr>
          <w:rFonts w:ascii="仿宋" w:eastAsia="仿宋" w:cs="仿宋"/>
          <w:kern w:val="0"/>
          <w:sz w:val="24"/>
        </w:rPr>
        <w:t>60%</w:t>
      </w:r>
      <w:r>
        <w:rPr>
          <w:rFonts w:hint="eastAsia" w:ascii="仿宋" w:eastAsia="仿宋" w:cs="仿宋"/>
          <w:kern w:val="0"/>
          <w:sz w:val="24"/>
        </w:rPr>
        <w:t>；</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7.</w:t>
      </w:r>
      <w:r>
        <w:rPr>
          <w:rFonts w:hint="eastAsia" w:ascii="仿宋" w:eastAsia="仿宋" w:cs="仿宋"/>
          <w:kern w:val="0"/>
          <w:sz w:val="24"/>
        </w:rPr>
        <w:t>快递中使用的集装袋应为单一材质制成，其重复使用次数应不小于</w:t>
      </w:r>
      <w:r>
        <w:rPr>
          <w:rFonts w:ascii="仿宋" w:eastAsia="仿宋" w:cs="仿宋"/>
          <w:kern w:val="0"/>
          <w:sz w:val="24"/>
        </w:rPr>
        <w:t xml:space="preserve">80 </w:t>
      </w:r>
      <w:r>
        <w:rPr>
          <w:rFonts w:hint="eastAsia" w:ascii="仿宋" w:eastAsia="仿宋" w:cs="仿宋"/>
          <w:kern w:val="0"/>
          <w:sz w:val="24"/>
        </w:rPr>
        <w:t>次；</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8.</w:t>
      </w:r>
      <w:r>
        <w:rPr>
          <w:rFonts w:hint="eastAsia" w:ascii="仿宋" w:eastAsia="仿宋" w:cs="仿宋"/>
          <w:kern w:val="0"/>
          <w:sz w:val="24"/>
        </w:rPr>
        <w:t>快递中应使用幅宽不大于</w:t>
      </w:r>
      <w:r>
        <w:rPr>
          <w:rFonts w:ascii="仿宋" w:eastAsia="仿宋" w:cs="仿宋"/>
          <w:kern w:val="0"/>
          <w:sz w:val="24"/>
        </w:rPr>
        <w:t xml:space="preserve">45mm </w:t>
      </w:r>
      <w:r>
        <w:rPr>
          <w:rFonts w:hint="eastAsia" w:ascii="仿宋" w:eastAsia="仿宋" w:cs="仿宋"/>
          <w:kern w:val="0"/>
          <w:sz w:val="24"/>
        </w:rPr>
        <w:t>的生物降解胶带；</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9.</w:t>
      </w:r>
      <w:r>
        <w:rPr>
          <w:rFonts w:hint="eastAsia" w:ascii="仿宋" w:eastAsia="仿宋" w:cs="仿宋"/>
          <w:kern w:val="0"/>
          <w:sz w:val="24"/>
        </w:rPr>
        <w:t>快递包装中不得使用溶剂型胶粘剂；</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10.</w:t>
      </w:r>
      <w:r>
        <w:rPr>
          <w:rFonts w:hint="eastAsia" w:ascii="仿宋" w:eastAsia="仿宋" w:cs="仿宋"/>
          <w:kern w:val="0"/>
          <w:sz w:val="24"/>
        </w:rPr>
        <w:t>快递应使用电子面单；</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11.</w:t>
      </w:r>
      <w:r>
        <w:rPr>
          <w:rFonts w:hint="eastAsia" w:ascii="仿宋" w:eastAsia="仿宋" w:cs="仿宋"/>
          <w:kern w:val="0"/>
          <w:sz w:val="24"/>
        </w:rPr>
        <w:t>直接使用商品包装作为快递包装的商品，其商品包装满足《商品包装政府采购需求标准（试行）》即可；</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12.</w:t>
      </w:r>
      <w:r>
        <w:rPr>
          <w:rFonts w:hint="eastAsia" w:ascii="仿宋" w:eastAsia="仿宋" w:cs="仿宋"/>
          <w:kern w:val="0"/>
          <w:sz w:val="24"/>
        </w:rPr>
        <w:t>快递包装产品质量和封装方式应符合相关国家或行业标准技术指标要求。</w:t>
      </w:r>
    </w:p>
    <w:p>
      <w:pPr>
        <w:autoSpaceDE w:val="0"/>
        <w:autoSpaceDN w:val="0"/>
        <w:adjustRightInd w:val="0"/>
        <w:ind w:firstLine="480" w:firstLineChars="200"/>
        <w:jc w:val="left"/>
        <w:rPr>
          <w:rFonts w:ascii="黑体" w:eastAsia="黑体" w:cs="黑体"/>
          <w:kern w:val="0"/>
          <w:sz w:val="24"/>
        </w:rPr>
      </w:pPr>
      <w:r>
        <w:rPr>
          <w:rFonts w:hint="eastAsia" w:ascii="黑体" w:eastAsia="黑体" w:cs="黑体"/>
          <w:kern w:val="0"/>
          <w:sz w:val="24"/>
        </w:rPr>
        <w:t>三、检测方法</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1.</w:t>
      </w:r>
      <w:r>
        <w:rPr>
          <w:rFonts w:hint="eastAsia" w:ascii="仿宋" w:eastAsia="仿宋" w:cs="仿宋"/>
          <w:kern w:val="0"/>
          <w:sz w:val="24"/>
        </w:rPr>
        <w:t>快递包装中重金属（铅、汞、镉、六价铬）总量的检测按照</w:t>
      </w:r>
      <w:r>
        <w:rPr>
          <w:rFonts w:ascii="仿宋" w:eastAsia="仿宋" w:cs="仿宋"/>
          <w:kern w:val="0"/>
          <w:sz w:val="24"/>
        </w:rPr>
        <w:t>GB/T 10004-2008</w:t>
      </w:r>
      <w:r>
        <w:rPr>
          <w:rFonts w:hint="eastAsia" w:ascii="仿宋" w:eastAsia="仿宋" w:cs="仿宋"/>
          <w:kern w:val="0"/>
          <w:sz w:val="24"/>
        </w:rPr>
        <w:t>《包装用塑料复合膜、袋干法复合、挤出复合》规定的方法进行。</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2.</w:t>
      </w:r>
      <w:r>
        <w:rPr>
          <w:rFonts w:hint="eastAsia" w:ascii="仿宋" w:eastAsia="仿宋" w:cs="仿宋"/>
          <w:kern w:val="0"/>
          <w:sz w:val="24"/>
        </w:rPr>
        <w:t>快递包装印刷使用的油墨中挥发性有机化合物</w:t>
      </w:r>
      <w:r>
        <w:rPr>
          <w:rFonts w:ascii="仿宋" w:eastAsia="仿宋" w:cs="仿宋"/>
          <w:kern w:val="0"/>
          <w:sz w:val="24"/>
        </w:rPr>
        <w:t>(VOCs)</w:t>
      </w:r>
      <w:r>
        <w:rPr>
          <w:rFonts w:hint="eastAsia" w:ascii="仿宋" w:eastAsia="仿宋" w:cs="仿宋"/>
          <w:kern w:val="0"/>
          <w:sz w:val="24"/>
        </w:rPr>
        <w:t>的检测按照</w:t>
      </w:r>
      <w:r>
        <w:rPr>
          <w:rFonts w:ascii="仿宋" w:eastAsia="仿宋" w:cs="仿宋"/>
          <w:kern w:val="0"/>
          <w:sz w:val="24"/>
        </w:rPr>
        <w:t>GB/T 23986-2009</w:t>
      </w:r>
      <w:r>
        <w:rPr>
          <w:rFonts w:hint="eastAsia" w:ascii="仿宋" w:eastAsia="仿宋" w:cs="仿宋"/>
          <w:kern w:val="0"/>
          <w:sz w:val="24"/>
        </w:rPr>
        <w:t>《色漆和清漆挥发性有机化合物</w:t>
      </w:r>
      <w:r>
        <w:rPr>
          <w:rFonts w:ascii="仿宋" w:eastAsia="仿宋" w:cs="仿宋"/>
          <w:kern w:val="0"/>
          <w:sz w:val="24"/>
        </w:rPr>
        <w:t>(VOC)</w:t>
      </w:r>
      <w:r>
        <w:rPr>
          <w:rFonts w:hint="eastAsia" w:ascii="仿宋" w:eastAsia="仿宋" w:cs="仿宋"/>
          <w:kern w:val="0"/>
          <w:sz w:val="24"/>
        </w:rPr>
        <w:t>含量的测定气相色谱法》规定的方法进行。</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3.</w:t>
      </w:r>
      <w:r>
        <w:rPr>
          <w:rFonts w:hint="eastAsia" w:ascii="仿宋" w:eastAsia="仿宋" w:cs="仿宋"/>
          <w:kern w:val="0"/>
          <w:sz w:val="24"/>
        </w:rPr>
        <w:t>快递包装所使用的塑料包装的生物降解率的检测按照</w:t>
      </w:r>
      <w:r>
        <w:rPr>
          <w:rFonts w:ascii="仿宋" w:eastAsia="仿宋" w:cs="仿宋"/>
          <w:kern w:val="0"/>
          <w:sz w:val="24"/>
        </w:rPr>
        <w:t>GB/T 20197-2006</w:t>
      </w:r>
      <w:r>
        <w:rPr>
          <w:rFonts w:hint="eastAsia" w:ascii="仿宋" w:eastAsia="仿宋" w:cs="仿宋"/>
          <w:kern w:val="0"/>
          <w:sz w:val="24"/>
        </w:rPr>
        <w:t>《降解塑料的定义、分类、标识和降解性能要求》规定的方法进行。</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4.</w:t>
      </w:r>
      <w:r>
        <w:rPr>
          <w:rFonts w:hint="eastAsia" w:ascii="仿宋" w:eastAsia="仿宋" w:cs="仿宋"/>
          <w:kern w:val="0"/>
          <w:sz w:val="24"/>
        </w:rPr>
        <w:t>快递包装使用纸基材的包装材料中有机氯的检测按照</w:t>
      </w:r>
      <w:r>
        <w:rPr>
          <w:rFonts w:ascii="仿宋" w:eastAsia="仿宋" w:cs="仿宋"/>
          <w:kern w:val="0"/>
          <w:sz w:val="24"/>
        </w:rPr>
        <w:t>GB/T 22904-2008</w:t>
      </w:r>
      <w:r>
        <w:rPr>
          <w:rFonts w:hint="eastAsia" w:ascii="仿宋" w:eastAsia="仿宋" w:cs="仿宋"/>
          <w:kern w:val="0"/>
          <w:sz w:val="24"/>
        </w:rPr>
        <w:t>《纸浆、纸和纸板总氯和有机氯的检定》规定的方法进行。</w:t>
      </w:r>
    </w:p>
    <w:p>
      <w:pPr>
        <w:autoSpaceDE w:val="0"/>
        <w:autoSpaceDN w:val="0"/>
        <w:adjustRightInd w:val="0"/>
        <w:ind w:firstLine="480" w:firstLineChars="200"/>
        <w:jc w:val="left"/>
        <w:rPr>
          <w:rFonts w:ascii="仿宋" w:eastAsia="仿宋" w:cs="仿宋"/>
          <w:kern w:val="0"/>
          <w:sz w:val="24"/>
        </w:rPr>
      </w:pPr>
      <w:r>
        <w:rPr>
          <w:rFonts w:ascii="仿宋" w:eastAsia="仿宋" w:cs="仿宋"/>
          <w:kern w:val="0"/>
          <w:sz w:val="24"/>
        </w:rPr>
        <w:t>5.</w:t>
      </w:r>
      <w:r>
        <w:rPr>
          <w:rFonts w:hint="eastAsia" w:ascii="仿宋" w:eastAsia="仿宋" w:cs="仿宋"/>
          <w:kern w:val="0"/>
          <w:sz w:val="24"/>
        </w:rPr>
        <w:t>快递包装中使用的生物降解胶带的生物降解率的检测按照</w:t>
      </w:r>
      <w:r>
        <w:rPr>
          <w:rFonts w:ascii="仿宋" w:eastAsia="仿宋" w:cs="仿宋"/>
          <w:kern w:val="0"/>
          <w:sz w:val="24"/>
        </w:rPr>
        <w:t>GB/T19277.1</w:t>
      </w:r>
      <w:r>
        <w:rPr>
          <w:rFonts w:hint="eastAsia" w:ascii="仿宋" w:eastAsia="仿宋" w:cs="仿宋"/>
          <w:kern w:val="0"/>
          <w:sz w:val="24"/>
        </w:rPr>
        <w:t>《受控堆肥条件下材料最终需氧生物分解能力的测定采用测定释放的二氧化碳的方法第</w:t>
      </w:r>
      <w:r>
        <w:rPr>
          <w:rFonts w:ascii="仿宋" w:eastAsia="仿宋" w:cs="仿宋"/>
          <w:kern w:val="0"/>
          <w:sz w:val="24"/>
        </w:rPr>
        <w:t xml:space="preserve">1 </w:t>
      </w:r>
      <w:r>
        <w:rPr>
          <w:rFonts w:hint="eastAsia" w:ascii="仿宋" w:eastAsia="仿宋" w:cs="仿宋"/>
          <w:kern w:val="0"/>
          <w:sz w:val="24"/>
        </w:rPr>
        <w:t>部分：通用方法》规定的方法进行。</w:t>
      </w:r>
    </w:p>
    <w:p>
      <w:pPr>
        <w:widowControl/>
        <w:jc w:val="left"/>
        <w:rPr>
          <w:rFonts w:ascii="仿宋" w:eastAsia="仿宋" w:cs="仿宋"/>
          <w:kern w:val="0"/>
          <w:sz w:val="24"/>
        </w:rPr>
      </w:pPr>
      <w:r>
        <w:rPr>
          <w:rFonts w:ascii="仿宋" w:eastAsia="仿宋" w:cs="仿宋"/>
          <w:kern w:val="0"/>
          <w:sz w:val="24"/>
        </w:rPr>
        <w:br w:type="page"/>
      </w:r>
    </w:p>
    <w:bookmarkEnd w:id="45"/>
    <w:p>
      <w:pPr>
        <w:pStyle w:val="28"/>
        <w:snapToGrid w:val="0"/>
        <w:spacing w:before="120" w:after="120" w:line="320" w:lineRule="exact"/>
        <w:jc w:val="center"/>
        <w:outlineLvl w:val="0"/>
        <w:rPr>
          <w:rFonts w:ascii="Times New Roman" w:hAnsi="Times New Roman" w:cs="Times New Roman"/>
          <w:sz w:val="32"/>
          <w:szCs w:val="32"/>
        </w:rPr>
      </w:pPr>
      <w:bookmarkStart w:id="46" w:name="_Toc12927"/>
      <w:r>
        <w:rPr>
          <w:rFonts w:ascii="Times New Roman" w:hAnsi="Times New Roman" w:cs="Times New Roman"/>
          <w:sz w:val="32"/>
          <w:szCs w:val="32"/>
        </w:rPr>
        <w:t>第六章  投标文件格式</w:t>
      </w:r>
      <w:bookmarkEnd w:id="46"/>
    </w:p>
    <w:p>
      <w:pPr>
        <w:rPr>
          <w:sz w:val="28"/>
          <w:szCs w:val="28"/>
        </w:rPr>
      </w:pPr>
    </w:p>
    <w:p>
      <w:pPr>
        <w:rPr>
          <w:sz w:val="28"/>
          <w:szCs w:val="28"/>
        </w:rPr>
      </w:pPr>
    </w:p>
    <w:p>
      <w:pPr>
        <w:spacing w:line="500" w:lineRule="exact"/>
        <w:ind w:firstLine="560" w:firstLineChars="200"/>
        <w:rPr>
          <w:sz w:val="28"/>
          <w:szCs w:val="28"/>
        </w:rPr>
      </w:pPr>
      <w:bookmarkStart w:id="47" w:name="_Hlk19114175"/>
      <w:r>
        <w:rPr>
          <w:rFonts w:hint="eastAsia"/>
          <w:sz w:val="28"/>
          <w:szCs w:val="28"/>
        </w:rPr>
        <w:t>注：有签字、盖章要求的应按要求签字、盖章。</w:t>
      </w:r>
    </w:p>
    <w:bookmarkEnd w:id="47"/>
    <w:p>
      <w:pPr>
        <w:spacing w:line="500" w:lineRule="exact"/>
        <w:ind w:firstLine="480" w:firstLineChars="200"/>
        <w:rPr>
          <w:rFonts w:ascii="宋体" w:hAnsi="宋体"/>
          <w:sz w:val="24"/>
        </w:rPr>
      </w:pPr>
    </w:p>
    <w:p>
      <w:pPr>
        <w:spacing w:line="500" w:lineRule="exact"/>
        <w:ind w:firstLine="480" w:firstLineChars="200"/>
        <w:rPr>
          <w:bCs/>
          <w:sz w:val="24"/>
        </w:rPr>
      </w:pPr>
      <w:r>
        <w:rPr>
          <w:rFonts w:ascii="宋体" w:hAnsi="宋体"/>
          <w:sz w:val="24"/>
        </w:rPr>
        <w:br w:type="page"/>
      </w:r>
      <w:bookmarkEnd w:id="0"/>
      <w:bookmarkEnd w:id="1"/>
      <w:r>
        <w:rPr>
          <w:rFonts w:hint="eastAsia"/>
          <w:bCs/>
          <w:sz w:val="24"/>
        </w:rPr>
        <w:t>一、</w:t>
      </w:r>
      <w:r>
        <w:rPr>
          <w:bCs/>
          <w:sz w:val="24"/>
        </w:rPr>
        <w:t>投标文件</w:t>
      </w:r>
      <w:r>
        <w:rPr>
          <w:rFonts w:hint="eastAsia"/>
          <w:bCs/>
          <w:sz w:val="24"/>
        </w:rPr>
        <w:t>总密封袋</w:t>
      </w:r>
      <w:r>
        <w:rPr>
          <w:bCs/>
          <w:sz w:val="24"/>
        </w:rPr>
        <w:t>的包装封面参考格式：</w:t>
      </w:r>
    </w:p>
    <w:p/>
    <w:p>
      <w:pPr>
        <w:snapToGrid w:val="0"/>
        <w:spacing w:before="120" w:beforeLines="50" w:after="50" w:line="440" w:lineRule="exact"/>
        <w:jc w:val="center"/>
        <w:rPr>
          <w:bCs/>
          <w:sz w:val="24"/>
        </w:rPr>
      </w:pPr>
    </w:p>
    <w:p>
      <w:pPr>
        <w:snapToGrid w:val="0"/>
        <w:spacing w:before="120" w:beforeLines="50" w:after="50" w:line="440" w:lineRule="exact"/>
        <w:jc w:val="center"/>
        <w:rPr>
          <w:b/>
          <w:bCs/>
          <w:sz w:val="44"/>
          <w:szCs w:val="44"/>
        </w:rPr>
      </w:pPr>
      <w:r>
        <w:rPr>
          <w:b/>
          <w:bCs/>
          <w:sz w:val="44"/>
          <w:szCs w:val="44"/>
        </w:rPr>
        <w:t>投 标 文 件</w:t>
      </w:r>
    </w:p>
    <w:p>
      <w:pPr>
        <w:snapToGrid w:val="0"/>
        <w:spacing w:before="120" w:beforeLines="50" w:after="50" w:line="440" w:lineRule="exact"/>
        <w:rPr>
          <w:bCs/>
          <w:sz w:val="24"/>
        </w:rPr>
      </w:pPr>
    </w:p>
    <w:p>
      <w:pPr>
        <w:snapToGrid w:val="0"/>
        <w:spacing w:before="120" w:beforeLines="50" w:after="50" w:line="440" w:lineRule="exact"/>
        <w:ind w:firstLine="720" w:firstLineChars="300"/>
        <w:rPr>
          <w:bCs/>
          <w:sz w:val="24"/>
        </w:rPr>
      </w:pPr>
      <w:r>
        <w:rPr>
          <w:bCs/>
          <w:sz w:val="24"/>
        </w:rPr>
        <w:t xml:space="preserve">项目名称： </w:t>
      </w:r>
    </w:p>
    <w:p>
      <w:pPr>
        <w:snapToGrid w:val="0"/>
        <w:spacing w:before="120" w:beforeLines="50" w:after="50" w:line="440" w:lineRule="exact"/>
        <w:ind w:firstLine="720" w:firstLineChars="300"/>
        <w:rPr>
          <w:bCs/>
          <w:sz w:val="24"/>
        </w:rPr>
      </w:pPr>
      <w:r>
        <w:rPr>
          <w:bCs/>
          <w:sz w:val="24"/>
        </w:rPr>
        <w:t xml:space="preserve">项目编号： </w:t>
      </w:r>
    </w:p>
    <w:p>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pPr>
        <w:pStyle w:val="7"/>
        <w:snapToGrid w:val="0"/>
        <w:spacing w:before="50" w:after="50" w:line="440" w:lineRule="exact"/>
        <w:ind w:firstLine="720" w:firstLineChars="300"/>
        <w:rPr>
          <w:bCs/>
          <w:sz w:val="24"/>
          <w:szCs w:val="24"/>
        </w:rPr>
      </w:pPr>
      <w:r>
        <w:rPr>
          <w:bCs/>
          <w:sz w:val="24"/>
          <w:szCs w:val="24"/>
        </w:rPr>
        <w:t>投标文件名称：</w:t>
      </w:r>
      <w:bookmarkStart w:id="48" w:name="_Hlk34130547"/>
      <w:r>
        <w:rPr>
          <w:bCs/>
          <w:sz w:val="24"/>
          <w:szCs w:val="24"/>
        </w:rPr>
        <w:t>第一册</w:t>
      </w:r>
      <w:r>
        <w:rPr>
          <w:bCs/>
          <w:sz w:val="24"/>
        </w:rPr>
        <w:t>资格审查文件、第二册</w:t>
      </w:r>
      <w:r>
        <w:rPr>
          <w:bCs/>
          <w:sz w:val="24"/>
          <w:szCs w:val="24"/>
        </w:rPr>
        <w:t>商务技术报价文件</w:t>
      </w:r>
      <w:r>
        <w:rPr>
          <w:rFonts w:hint="eastAsia"/>
          <w:bCs/>
          <w:sz w:val="24"/>
          <w:szCs w:val="24"/>
        </w:rPr>
        <w:t>、</w:t>
      </w:r>
      <w:r>
        <w:rPr>
          <w:rFonts w:hint="eastAsia"/>
          <w:bCs/>
          <w:sz w:val="24"/>
        </w:rPr>
        <w:t>单独密封文件的密封袋</w:t>
      </w:r>
    </w:p>
    <w:bookmarkEnd w:id="48"/>
    <w:p>
      <w:pPr>
        <w:pStyle w:val="7"/>
        <w:snapToGrid w:val="0"/>
        <w:spacing w:before="50" w:after="50" w:line="440" w:lineRule="exact"/>
        <w:ind w:firstLine="720" w:firstLineChars="300"/>
        <w:rPr>
          <w:bCs/>
          <w:sz w:val="24"/>
          <w:szCs w:val="24"/>
        </w:rPr>
      </w:pPr>
      <w:r>
        <w:rPr>
          <w:bCs/>
          <w:sz w:val="24"/>
          <w:szCs w:val="24"/>
        </w:rPr>
        <w:t>供应商名称：</w:t>
      </w:r>
    </w:p>
    <w:p>
      <w:pPr>
        <w:pStyle w:val="7"/>
        <w:snapToGrid w:val="0"/>
        <w:spacing w:before="50" w:after="50" w:line="440" w:lineRule="exact"/>
        <w:ind w:firstLine="720" w:firstLineChars="300"/>
        <w:rPr>
          <w:bCs/>
          <w:sz w:val="24"/>
          <w:szCs w:val="24"/>
        </w:rPr>
      </w:pPr>
      <w:r>
        <w:rPr>
          <w:bCs/>
          <w:sz w:val="24"/>
          <w:szCs w:val="24"/>
        </w:rPr>
        <w:t>供应商地址：</w:t>
      </w:r>
    </w:p>
    <w:p>
      <w:pPr>
        <w:pStyle w:val="7"/>
        <w:snapToGrid w:val="0"/>
        <w:spacing w:before="50" w:after="50" w:line="440" w:lineRule="exact"/>
        <w:ind w:firstLine="720" w:firstLineChars="300"/>
        <w:rPr>
          <w:bCs/>
          <w:sz w:val="24"/>
          <w:szCs w:val="24"/>
        </w:rPr>
      </w:pPr>
      <w:r>
        <w:rPr>
          <w:bCs/>
          <w:sz w:val="24"/>
          <w:szCs w:val="24"/>
        </w:rPr>
        <w:t>在  年  月  日  时  分之前不得启封</w:t>
      </w:r>
    </w:p>
    <w:p>
      <w:pPr>
        <w:pStyle w:val="7"/>
        <w:snapToGrid w:val="0"/>
        <w:spacing w:before="50" w:after="50" w:line="440" w:lineRule="exact"/>
        <w:ind w:firstLine="720" w:firstLineChars="300"/>
        <w:rPr>
          <w:bCs/>
          <w:sz w:val="24"/>
          <w:szCs w:val="24"/>
        </w:rPr>
      </w:pPr>
      <w:r>
        <w:rPr>
          <w:bCs/>
          <w:sz w:val="24"/>
          <w:szCs w:val="24"/>
        </w:rPr>
        <w:t>开标时启封</w:t>
      </w:r>
    </w:p>
    <w:p>
      <w:pPr>
        <w:snapToGrid w:val="0"/>
        <w:spacing w:before="120" w:beforeLines="50" w:after="50" w:line="440" w:lineRule="exact"/>
        <w:ind w:firstLine="4080" w:firstLineChars="1700"/>
        <w:rPr>
          <w:bCs/>
          <w:sz w:val="24"/>
        </w:rPr>
      </w:pPr>
    </w:p>
    <w:p>
      <w:pPr>
        <w:snapToGrid w:val="0"/>
        <w:spacing w:before="120" w:beforeLines="50" w:after="50" w:line="440" w:lineRule="exact"/>
        <w:ind w:firstLine="645"/>
        <w:jc w:val="center"/>
        <w:rPr>
          <w:bCs/>
          <w:sz w:val="24"/>
        </w:rPr>
      </w:pPr>
      <w:r>
        <w:rPr>
          <w:bCs/>
          <w:sz w:val="24"/>
        </w:rPr>
        <w:t xml:space="preserve">                        年  月  日</w:t>
      </w:r>
    </w:p>
    <w:p>
      <w:pPr>
        <w:snapToGrid w:val="0"/>
        <w:spacing w:before="120" w:beforeLines="50" w:after="50" w:line="440" w:lineRule="exact"/>
        <w:jc w:val="left"/>
        <w:outlineLvl w:val="1"/>
        <w:rPr>
          <w:bCs/>
          <w:sz w:val="24"/>
        </w:rPr>
      </w:pPr>
      <w:r>
        <w:rPr>
          <w:sz w:val="24"/>
        </w:rPr>
        <w:br w:type="page"/>
      </w:r>
      <w:r>
        <w:rPr>
          <w:bCs/>
          <w:sz w:val="24"/>
        </w:rPr>
        <w:t xml:space="preserve">1．投标文件第一册封面参考格式： </w:t>
      </w:r>
    </w:p>
    <w:p>
      <w:pPr>
        <w:snapToGrid w:val="0"/>
        <w:spacing w:before="120" w:beforeLines="50" w:after="50" w:line="360" w:lineRule="exact"/>
        <w:rPr>
          <w:sz w:val="24"/>
        </w:rPr>
      </w:pPr>
    </w:p>
    <w:p>
      <w:pPr>
        <w:snapToGrid w:val="0"/>
        <w:spacing w:before="120" w:beforeLines="50" w:after="50" w:line="360" w:lineRule="exact"/>
        <w:jc w:val="right"/>
        <w:rPr>
          <w:bCs/>
          <w:sz w:val="24"/>
        </w:rPr>
      </w:pPr>
      <w:r>
        <w:rPr>
          <w:bCs/>
          <w:sz w:val="24"/>
        </w:rPr>
        <w:t>正本/副本</w:t>
      </w:r>
    </w:p>
    <w:p>
      <w:pPr>
        <w:snapToGrid w:val="0"/>
        <w:spacing w:before="120" w:beforeLines="50" w:after="50" w:line="360" w:lineRule="exact"/>
        <w:jc w:val="center"/>
        <w:rPr>
          <w:bCs/>
          <w:sz w:val="24"/>
        </w:rPr>
      </w:pPr>
    </w:p>
    <w:p>
      <w:pPr>
        <w:snapToGrid w:val="0"/>
        <w:spacing w:before="120" w:beforeLines="50" w:after="50" w:line="360" w:lineRule="exact"/>
        <w:jc w:val="center"/>
        <w:rPr>
          <w:b/>
          <w:bCs/>
          <w:sz w:val="44"/>
          <w:szCs w:val="44"/>
        </w:rPr>
      </w:pPr>
      <w:r>
        <w:rPr>
          <w:b/>
          <w:bCs/>
          <w:sz w:val="44"/>
          <w:szCs w:val="44"/>
        </w:rPr>
        <w:t>投标文件</w:t>
      </w:r>
    </w:p>
    <w:p>
      <w:pPr>
        <w:snapToGrid w:val="0"/>
        <w:spacing w:before="120" w:beforeLines="50" w:after="50" w:line="360" w:lineRule="exact"/>
        <w:jc w:val="center"/>
        <w:rPr>
          <w:b/>
          <w:bCs/>
          <w:sz w:val="44"/>
          <w:szCs w:val="44"/>
        </w:rPr>
      </w:pPr>
    </w:p>
    <w:p>
      <w:pPr>
        <w:snapToGrid w:val="0"/>
        <w:spacing w:before="120" w:beforeLines="50" w:after="50" w:line="360" w:lineRule="exact"/>
        <w:jc w:val="center"/>
        <w:rPr>
          <w:b/>
          <w:bCs/>
          <w:sz w:val="44"/>
          <w:szCs w:val="44"/>
        </w:rPr>
      </w:pPr>
    </w:p>
    <w:p>
      <w:pPr>
        <w:snapToGrid w:val="0"/>
        <w:spacing w:before="120" w:beforeLines="50" w:after="50" w:line="360" w:lineRule="exact"/>
        <w:jc w:val="center"/>
        <w:rPr>
          <w:b/>
          <w:bCs/>
          <w:sz w:val="44"/>
          <w:szCs w:val="44"/>
        </w:rPr>
      </w:pPr>
      <w:r>
        <w:rPr>
          <w:b/>
          <w:bCs/>
          <w:sz w:val="44"/>
          <w:szCs w:val="44"/>
        </w:rPr>
        <w:t>第一册  资格审查文件</w:t>
      </w:r>
    </w:p>
    <w:p>
      <w:pPr>
        <w:snapToGrid w:val="0"/>
        <w:spacing w:before="120" w:beforeLines="50" w:after="50" w:line="360" w:lineRule="exact"/>
        <w:rPr>
          <w:bCs/>
          <w:sz w:val="24"/>
        </w:rPr>
      </w:pPr>
    </w:p>
    <w:p>
      <w:pPr>
        <w:snapToGrid w:val="0"/>
        <w:spacing w:before="120" w:beforeLines="50" w:after="50" w:line="360" w:lineRule="exact"/>
        <w:rPr>
          <w:bCs/>
          <w:sz w:val="24"/>
        </w:rPr>
      </w:pPr>
    </w:p>
    <w:p>
      <w:pPr>
        <w:snapToGrid w:val="0"/>
        <w:spacing w:before="120" w:beforeLines="50" w:after="50" w:line="360" w:lineRule="exact"/>
        <w:rPr>
          <w:bCs/>
          <w:sz w:val="24"/>
        </w:rPr>
      </w:pPr>
    </w:p>
    <w:p>
      <w:pPr>
        <w:snapToGrid w:val="0"/>
        <w:spacing w:before="120" w:beforeLines="50" w:after="50" w:line="360" w:lineRule="exact"/>
        <w:ind w:firstLine="720" w:firstLineChars="300"/>
        <w:rPr>
          <w:bCs/>
          <w:sz w:val="24"/>
        </w:rPr>
      </w:pPr>
      <w:r>
        <w:rPr>
          <w:bCs/>
          <w:sz w:val="24"/>
        </w:rPr>
        <w:t xml:space="preserve">项目名称： </w:t>
      </w:r>
    </w:p>
    <w:p>
      <w:pPr>
        <w:snapToGrid w:val="0"/>
        <w:spacing w:before="120" w:beforeLines="50" w:after="50" w:line="360" w:lineRule="exact"/>
        <w:ind w:firstLine="720" w:firstLineChars="300"/>
        <w:rPr>
          <w:bCs/>
          <w:sz w:val="24"/>
        </w:rPr>
      </w:pPr>
      <w:r>
        <w:rPr>
          <w:bCs/>
          <w:sz w:val="24"/>
        </w:rPr>
        <w:t>项目编号：</w:t>
      </w:r>
    </w:p>
    <w:p>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pPr>
        <w:snapToGrid w:val="0"/>
        <w:spacing w:before="120" w:beforeLines="50" w:after="50" w:line="360" w:lineRule="exact"/>
        <w:ind w:firstLine="720" w:firstLineChars="300"/>
        <w:rPr>
          <w:bCs/>
          <w:sz w:val="24"/>
        </w:rPr>
      </w:pPr>
      <w:r>
        <w:rPr>
          <w:bCs/>
          <w:sz w:val="24"/>
        </w:rPr>
        <w:t>供应商名称：</w:t>
      </w:r>
    </w:p>
    <w:p>
      <w:pPr>
        <w:snapToGrid w:val="0"/>
        <w:spacing w:before="120" w:beforeLines="50" w:after="50" w:line="360" w:lineRule="exact"/>
        <w:ind w:firstLine="720" w:firstLineChars="300"/>
        <w:rPr>
          <w:bCs/>
          <w:sz w:val="24"/>
        </w:rPr>
      </w:pPr>
      <w:r>
        <w:rPr>
          <w:bCs/>
          <w:sz w:val="24"/>
        </w:rPr>
        <w:t>供应商地址：</w:t>
      </w:r>
    </w:p>
    <w:p>
      <w:pPr>
        <w:pStyle w:val="7"/>
        <w:snapToGrid w:val="0"/>
        <w:spacing w:before="50" w:after="50" w:line="360" w:lineRule="exact"/>
        <w:ind w:firstLine="960" w:firstLineChars="400"/>
        <w:rPr>
          <w:bCs/>
          <w:sz w:val="24"/>
          <w:szCs w:val="24"/>
        </w:rPr>
      </w:pPr>
    </w:p>
    <w:p>
      <w:pPr>
        <w:snapToGrid w:val="0"/>
        <w:spacing w:before="120" w:beforeLines="50" w:after="50" w:line="360" w:lineRule="exact"/>
        <w:jc w:val="center"/>
        <w:rPr>
          <w:sz w:val="24"/>
        </w:rPr>
      </w:pPr>
      <w:r>
        <w:rPr>
          <w:sz w:val="24"/>
        </w:rPr>
        <w:t xml:space="preserve">                        年  月  日</w:t>
      </w:r>
    </w:p>
    <w:p>
      <w:bookmarkStart w:id="49" w:name="_Toc254970698"/>
      <w:bookmarkStart w:id="50" w:name="_Toc254970557"/>
      <w:r>
        <w:br w:type="page"/>
      </w:r>
      <w:bookmarkEnd w:id="49"/>
      <w:bookmarkEnd w:id="50"/>
      <w:r>
        <w:rPr>
          <w:b/>
          <w:bCs/>
        </w:rPr>
        <w:t xml:space="preserve"> </w:t>
      </w:r>
    </w:p>
    <w:p>
      <w:pPr>
        <w:snapToGrid w:val="0"/>
        <w:spacing w:before="50" w:after="50" w:line="440" w:lineRule="exact"/>
        <w:ind w:firstLine="138" w:firstLineChars="49"/>
        <w:jc w:val="center"/>
        <w:rPr>
          <w:b/>
          <w:sz w:val="28"/>
          <w:szCs w:val="28"/>
        </w:rPr>
      </w:pPr>
      <w:r>
        <w:rPr>
          <w:b/>
          <w:sz w:val="28"/>
          <w:szCs w:val="28"/>
        </w:rPr>
        <w:t>目录</w:t>
      </w:r>
    </w:p>
    <w:p>
      <w:pPr>
        <w:snapToGrid w:val="0"/>
        <w:spacing w:before="50" w:after="50" w:line="440" w:lineRule="exact"/>
        <w:ind w:firstLine="118" w:firstLineChars="49"/>
        <w:jc w:val="center"/>
        <w:rPr>
          <w:b/>
          <w:sz w:val="24"/>
        </w:rPr>
      </w:pPr>
      <w:r>
        <w:rPr>
          <w:b/>
          <w:sz w:val="24"/>
        </w:rPr>
        <w:t>（应有页码）</w:t>
      </w:r>
    </w:p>
    <w:p>
      <w:pPr>
        <w:snapToGrid w:val="0"/>
        <w:spacing w:before="50" w:after="50" w:line="440" w:lineRule="exact"/>
        <w:ind w:firstLine="118" w:firstLineChars="49"/>
        <w:jc w:val="center"/>
        <w:rPr>
          <w:b/>
          <w:sz w:val="24"/>
        </w:rPr>
      </w:pPr>
      <w:r>
        <w:rPr>
          <w:b/>
          <w:sz w:val="24"/>
        </w:rPr>
        <w:br w:type="page"/>
      </w:r>
    </w:p>
    <w:p>
      <w:pPr>
        <w:snapToGrid w:val="0"/>
        <w:spacing w:before="50" w:after="50" w:line="440" w:lineRule="exact"/>
        <w:jc w:val="left"/>
        <w:rPr>
          <w:b/>
          <w:szCs w:val="21"/>
        </w:rPr>
      </w:pPr>
      <w:bookmarkStart w:id="51" w:name="_Hlk19114217"/>
      <w:r>
        <w:rPr>
          <w:b/>
          <w:szCs w:val="21"/>
        </w:rPr>
        <w:t>1．投标声明书格式：</w:t>
      </w:r>
    </w:p>
    <w:p>
      <w:pPr>
        <w:snapToGrid w:val="0"/>
        <w:spacing w:before="120" w:beforeLines="50" w:after="50" w:line="360" w:lineRule="exact"/>
        <w:jc w:val="center"/>
        <w:rPr>
          <w:b/>
          <w:szCs w:val="21"/>
        </w:rPr>
      </w:pPr>
    </w:p>
    <w:p>
      <w:pPr>
        <w:snapToGrid w:val="0"/>
        <w:spacing w:before="120" w:beforeLines="50" w:after="50" w:line="360" w:lineRule="exact"/>
        <w:jc w:val="center"/>
        <w:rPr>
          <w:b/>
          <w:szCs w:val="21"/>
        </w:rPr>
      </w:pPr>
      <w:r>
        <w:rPr>
          <w:b/>
          <w:szCs w:val="21"/>
        </w:rPr>
        <w:t>投标声明书</w:t>
      </w:r>
    </w:p>
    <w:p>
      <w:pPr>
        <w:snapToGrid w:val="0"/>
        <w:spacing w:before="120" w:beforeLines="50" w:after="50" w:line="360" w:lineRule="exact"/>
        <w:jc w:val="center"/>
        <w:rPr>
          <w:szCs w:val="21"/>
        </w:rPr>
      </w:pPr>
    </w:p>
    <w:p>
      <w:pPr>
        <w:snapToGrid w:val="0"/>
        <w:spacing w:before="120" w:beforeLines="5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 xml:space="preserve">（项目名称） </w:t>
      </w:r>
      <w:r>
        <w:rPr>
          <w:szCs w:val="21"/>
        </w:rPr>
        <w:t>项目的投标，为便于贵方公正、择优地确定中标人及其投标产品和服务，我方就本次投标有关事项郑重声明如下：</w:t>
      </w:r>
    </w:p>
    <w:p>
      <w:pPr>
        <w:snapToGrid w:val="0"/>
        <w:spacing w:before="120" w:beforeLines="50" w:line="360" w:lineRule="exact"/>
        <w:ind w:firstLine="420" w:firstLineChars="200"/>
        <w:rPr>
          <w:szCs w:val="21"/>
        </w:rPr>
      </w:pPr>
      <w:r>
        <w:rPr>
          <w:szCs w:val="21"/>
        </w:rPr>
        <w:t>（1）我方向贵方提交的所有投标文件、资料都是准确的和真实的。</w:t>
      </w:r>
    </w:p>
    <w:p>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pPr>
        <w:snapToGrid w:val="0"/>
        <w:spacing w:before="120" w:beforeLines="50" w:line="360" w:lineRule="exact"/>
        <w:ind w:firstLine="420" w:firstLineChars="200"/>
        <w:rPr>
          <w:szCs w:val="21"/>
        </w:rPr>
      </w:pPr>
      <w:r>
        <w:rPr>
          <w:szCs w:val="21"/>
        </w:rPr>
        <w:t>（3）我方承诺在参加本政府采购项目活动前，没有被纳入政府部门或银行认定的失信名单，我方具有良好的商业信誉。</w:t>
      </w:r>
    </w:p>
    <w:p>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及不良信用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pPr>
        <w:snapToGrid w:val="0"/>
        <w:spacing w:before="120" w:beforeLines="50" w:line="360" w:lineRule="exact"/>
        <w:ind w:firstLine="420" w:firstLineChars="200"/>
        <w:rPr>
          <w:szCs w:val="21"/>
        </w:rPr>
      </w:pPr>
      <w:r>
        <w:rPr>
          <w:szCs w:val="21"/>
        </w:rPr>
        <w:t>（5）我方承诺具有履行本项目合同所必需的设备和专业技术能力。</w:t>
      </w:r>
    </w:p>
    <w:p>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未被列入失信被执行人、重大税收违法案件当事人名单、政府采购严重违法失信行为记录名单</w:t>
      </w:r>
      <w:r>
        <w:rPr>
          <w:rFonts w:hint="eastAsia"/>
          <w:szCs w:val="21"/>
        </w:rPr>
        <w:t>，如我方提供的声明不实，则接受本次投标作为否决投标的处理，</w:t>
      </w:r>
      <w:r>
        <w:rPr>
          <w:szCs w:val="21"/>
        </w:rPr>
        <w:t>并根据财库〔2016〕125号《财政部关于在政府采购活动中查询及使用信用记录有关问题的通知》规定接受失信联合惩戒。</w:t>
      </w:r>
    </w:p>
    <w:p>
      <w:pPr>
        <w:snapToGrid w:val="0"/>
        <w:spacing w:before="120" w:beforeLines="50" w:line="360" w:lineRule="exact"/>
        <w:ind w:firstLine="420" w:firstLineChars="200"/>
        <w:rPr>
          <w:szCs w:val="21"/>
        </w:rPr>
      </w:pPr>
      <w:r>
        <w:rPr>
          <w:rFonts w:hint="eastAsia"/>
          <w:szCs w:val="21"/>
        </w:rPr>
        <w:t>（7）我方承诺中标后按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bookmarkEnd w:id="51"/>
    <w:p>
      <w:pPr>
        <w:snapToGrid w:val="0"/>
        <w:spacing w:before="120" w:beforeLines="50" w:line="360" w:lineRule="exact"/>
        <w:ind w:firstLine="420" w:firstLineChars="200"/>
        <w:rPr>
          <w:szCs w:val="21"/>
        </w:rPr>
      </w:pPr>
    </w:p>
    <w:p>
      <w:pPr>
        <w:snapToGrid w:val="0"/>
        <w:spacing w:before="120" w:beforeLines="50" w:line="360" w:lineRule="exact"/>
        <w:ind w:firstLine="3509" w:firstLineChars="1671"/>
        <w:rPr>
          <w:szCs w:val="21"/>
          <w:u w:val="single"/>
        </w:rPr>
      </w:pPr>
      <w:r>
        <w:rPr>
          <w:szCs w:val="21"/>
        </w:rPr>
        <w:t>法定代表人签字或盖章：</w:t>
      </w:r>
      <w:r>
        <w:rPr>
          <w:szCs w:val="21"/>
          <w:u w:val="single"/>
        </w:rPr>
        <w:t xml:space="preserve">             </w:t>
      </w:r>
    </w:p>
    <w:p>
      <w:pPr>
        <w:snapToGrid w:val="0"/>
        <w:spacing w:before="120" w:beforeLines="50" w:after="50" w:line="360" w:lineRule="exact"/>
        <w:ind w:firstLine="3570" w:firstLineChars="1700"/>
        <w:rPr>
          <w:szCs w:val="21"/>
        </w:rPr>
      </w:pPr>
      <w:r>
        <w:rPr>
          <w:szCs w:val="21"/>
        </w:rPr>
        <w:t>供应商公章：</w:t>
      </w:r>
      <w:r>
        <w:rPr>
          <w:szCs w:val="21"/>
          <w:u w:val="single"/>
        </w:rPr>
        <w:t xml:space="preserve">                </w:t>
      </w:r>
    </w:p>
    <w:p>
      <w:pPr>
        <w:snapToGrid w:val="0"/>
        <w:spacing w:before="120" w:beforeLines="50" w:after="50" w:line="360" w:lineRule="exact"/>
        <w:ind w:firstLine="210" w:firstLineChars="100"/>
        <w:rPr>
          <w:szCs w:val="21"/>
        </w:rPr>
      </w:pPr>
      <w:r>
        <w:rPr>
          <w:szCs w:val="21"/>
        </w:rPr>
        <w:t xml:space="preserve">                                          年    月    日</w:t>
      </w:r>
    </w:p>
    <w:p>
      <w:pPr>
        <w:snapToGrid w:val="0"/>
        <w:spacing w:before="120" w:beforeLines="50" w:after="50" w:line="360" w:lineRule="exact"/>
        <w:rPr>
          <w:szCs w:val="21"/>
        </w:rPr>
      </w:pPr>
      <w:r>
        <w:rPr>
          <w:szCs w:val="21"/>
        </w:rPr>
        <w:br w:type="page"/>
      </w:r>
      <w:r>
        <w:rPr>
          <w:szCs w:val="21"/>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公章）。</w:t>
      </w:r>
    </w:p>
    <w:p>
      <w:pPr>
        <w:snapToGrid w:val="0"/>
        <w:spacing w:before="120" w:beforeLines="50" w:after="50" w:line="440" w:lineRule="exact"/>
        <w:rPr>
          <w:sz w:val="18"/>
          <w:szCs w:val="18"/>
        </w:rPr>
      </w:pPr>
    </w:p>
    <w:p>
      <w:pPr>
        <w:snapToGrid w:val="0"/>
        <w:spacing w:before="120" w:beforeLines="50" w:after="50" w:line="440" w:lineRule="exact"/>
        <w:rPr>
          <w:b/>
          <w:szCs w:val="21"/>
        </w:rPr>
      </w:pPr>
      <w:bookmarkStart w:id="52" w:name="_Hlk19114230"/>
      <w:r>
        <w:rPr>
          <w:szCs w:val="21"/>
        </w:rPr>
        <w:t>3．财务状况报告（表）复印件或银行出具的资信证明复印件。</w:t>
      </w:r>
      <w:r>
        <w:t>对于从取得营业执照时间起到开标时间为止不足1年的供应商，只需提交</w:t>
      </w:r>
      <w:r>
        <w:rPr>
          <w:szCs w:val="21"/>
        </w:rPr>
        <w:t>开标时间前一个月的财务状况报告（表）复印件。（按“评标方法及评标标准” “资格审查表”规定提供）。（加盖供应商公章）</w:t>
      </w:r>
      <w:r>
        <w:rPr>
          <w:rFonts w:hint="eastAsia"/>
          <w:szCs w:val="21"/>
        </w:rPr>
        <w:t>。</w:t>
      </w:r>
    </w:p>
    <w:p>
      <w:pPr>
        <w:snapToGrid w:val="0"/>
        <w:spacing w:before="120" w:beforeLines="50" w:after="50" w:line="440" w:lineRule="exact"/>
        <w:rPr>
          <w:szCs w:val="21"/>
        </w:rPr>
      </w:pPr>
    </w:p>
    <w:bookmarkEnd w:id="52"/>
    <w:p>
      <w:pPr>
        <w:snapToGrid w:val="0"/>
        <w:spacing w:before="120" w:beforeLines="50" w:after="50" w:line="440" w:lineRule="exact"/>
      </w:pPr>
      <w:r>
        <w:t>4．依法缴纳税费证明和社会保险缴纳证明材料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（按“评标方法及评标标准” “资格审查表”规定提供）（加盖供应商公章）</w:t>
      </w:r>
      <w:r>
        <w:rPr>
          <w:rFonts w:hint="eastAsia"/>
          <w:szCs w:val="21"/>
        </w:rPr>
        <w:t>。</w:t>
      </w:r>
    </w:p>
    <w:p>
      <w:pPr>
        <w:snapToGrid w:val="0"/>
        <w:spacing w:before="120" w:beforeLines="50" w:after="50" w:line="440" w:lineRule="exact"/>
        <w:rPr>
          <w:szCs w:val="21"/>
        </w:rPr>
      </w:pPr>
    </w:p>
    <w:p>
      <w:pPr>
        <w:snapToGrid w:val="0"/>
        <w:spacing w:before="50" w:after="120" w:afterLines="50" w:line="440" w:lineRule="exact"/>
        <w:jc w:val="left"/>
      </w:pPr>
    </w:p>
    <w:p>
      <w:pPr>
        <w:snapToGrid w:val="0"/>
        <w:spacing w:before="50" w:after="120" w:afterLines="50" w:line="440" w:lineRule="exact"/>
        <w:jc w:val="left"/>
        <w:rPr>
          <w:b/>
          <w:szCs w:val="21"/>
        </w:rPr>
      </w:pPr>
      <w:bookmarkStart w:id="53" w:name="_Hlk19114283"/>
      <w:r>
        <w:rPr>
          <w:szCs w:val="21"/>
        </w:rPr>
        <w:t>5．具备法律、行政法规规定的其他要求的证明材料</w:t>
      </w:r>
      <w:r>
        <w:t>（</w:t>
      </w:r>
      <w:r>
        <w:rPr>
          <w:szCs w:val="21"/>
        </w:rPr>
        <w:t>按“评标方法及评标标准” “资格审查表”规定提供</w:t>
      </w:r>
      <w:r>
        <w:t>）。</w:t>
      </w:r>
      <w:bookmarkStart w:id="54" w:name="_Hlk48144477"/>
      <w:r>
        <w:rPr>
          <w:rFonts w:hint="eastAsia"/>
          <w:b/>
          <w:szCs w:val="21"/>
        </w:rPr>
        <w:t>（如招标文件有要求时提供）</w:t>
      </w:r>
      <w:bookmarkEnd w:id="54"/>
    </w:p>
    <w:p>
      <w:pPr>
        <w:snapToGrid w:val="0"/>
        <w:spacing w:before="50" w:after="120" w:afterLines="50" w:line="440" w:lineRule="exact"/>
        <w:jc w:val="left"/>
      </w:pPr>
    </w:p>
    <w:p>
      <w:pPr>
        <w:snapToGrid w:val="0"/>
        <w:spacing w:before="50" w:after="120" w:afterLines="50" w:line="440" w:lineRule="exact"/>
        <w:jc w:val="left"/>
        <w:rPr>
          <w:b/>
          <w:szCs w:val="21"/>
        </w:rPr>
      </w:pPr>
      <w:r>
        <w:rPr>
          <w:szCs w:val="21"/>
        </w:rPr>
        <w:t>6．</w:t>
      </w:r>
      <w:r>
        <w:t>满足供应商特定资格条件的其他证明材料</w:t>
      </w:r>
      <w:r>
        <w:rPr>
          <w:szCs w:val="21"/>
        </w:rPr>
        <w:t>加盖供应商公章</w:t>
      </w:r>
      <w:r>
        <w:t>（</w:t>
      </w:r>
      <w:r>
        <w:rPr>
          <w:szCs w:val="21"/>
        </w:rPr>
        <w:t>按“评标方法及评标标准” “资格审查表”“</w:t>
      </w:r>
      <w:r>
        <w:rPr>
          <w:szCs w:val="21"/>
          <w:lang w:val="zh-CN"/>
        </w:rPr>
        <w:t xml:space="preserve"> 供应商应符合的</w:t>
      </w:r>
      <w:r>
        <w:rPr>
          <w:szCs w:val="21"/>
        </w:rPr>
        <w:t>特定资格条件”规定提供</w:t>
      </w:r>
      <w:r>
        <w:t>）。</w:t>
      </w:r>
      <w:r>
        <w:rPr>
          <w:rFonts w:hint="eastAsia"/>
          <w:b/>
          <w:szCs w:val="21"/>
        </w:rPr>
        <w:t>（如招标文件有要求时提供）</w:t>
      </w:r>
    </w:p>
    <w:p>
      <w:pPr>
        <w:snapToGrid w:val="0"/>
        <w:spacing w:before="50" w:after="120" w:afterLines="50" w:line="440" w:lineRule="exact"/>
        <w:jc w:val="left"/>
      </w:pPr>
    </w:p>
    <w:p>
      <w:pPr>
        <w:snapToGrid w:val="0"/>
        <w:spacing w:before="50" w:after="120" w:afterLines="50" w:line="400" w:lineRule="exact"/>
        <w:jc w:val="left"/>
        <w:rPr>
          <w:szCs w:val="21"/>
        </w:rPr>
      </w:pPr>
      <w:r>
        <w:rPr>
          <w:szCs w:val="21"/>
        </w:rPr>
        <w:t>7．投标保证金缴纳证明</w:t>
      </w:r>
      <w:r>
        <w:rPr>
          <w:rFonts w:hint="eastAsia"/>
          <w:szCs w:val="21"/>
        </w:rPr>
        <w:t>。</w:t>
      </w:r>
      <w:r>
        <w:rPr>
          <w:rFonts w:hint="eastAsia"/>
          <w:b/>
          <w:szCs w:val="21"/>
        </w:rPr>
        <w:t>（如招标文件有要求时提供）</w:t>
      </w:r>
    </w:p>
    <w:p>
      <w:pPr>
        <w:snapToGrid w:val="0"/>
        <w:spacing w:before="50" w:after="120" w:afterLines="50" w:line="440" w:lineRule="exact"/>
        <w:jc w:val="left"/>
      </w:pPr>
      <w:r>
        <w:rPr>
          <w:rFonts w:hint="eastAsia"/>
        </w:rPr>
        <w:t>以转账、电汇形式缴纳的，提供转账、电汇凭证扫描件或复印件（网银可提供截图）</w:t>
      </w:r>
      <w:r>
        <w:t>加盖公章</w:t>
      </w:r>
      <w:r>
        <w:rPr>
          <w:rFonts w:hint="eastAsia"/>
        </w:rPr>
        <w:t>；</w:t>
      </w:r>
    </w:p>
    <w:p>
      <w:pPr>
        <w:snapToGrid w:val="0"/>
        <w:spacing w:before="50" w:after="120" w:afterLines="50" w:line="440" w:lineRule="exact"/>
        <w:jc w:val="left"/>
      </w:pPr>
      <w:r>
        <w:rPr>
          <w:rFonts w:hint="eastAsia"/>
        </w:rPr>
        <w:t>以其他非现金形式缴纳的，提供原件扫描件或</w:t>
      </w:r>
      <w:r>
        <w:t>复印件加盖公章</w:t>
      </w:r>
      <w:r>
        <w:rPr>
          <w:rFonts w:hint="eastAsia"/>
        </w:rPr>
        <w:t>。</w:t>
      </w:r>
    </w:p>
    <w:p>
      <w:pPr>
        <w:snapToGrid w:val="0"/>
        <w:spacing w:before="50" w:after="120" w:afterLines="50" w:line="440" w:lineRule="exact"/>
        <w:jc w:val="left"/>
      </w:pPr>
    </w:p>
    <w:p>
      <w:pPr>
        <w:snapToGrid w:val="0"/>
        <w:spacing w:before="50" w:after="120" w:afterLines="50"/>
        <w:jc w:val="left"/>
        <w:rPr>
          <w:b/>
          <w:bCs/>
          <w:color w:val="auto"/>
          <w:szCs w:val="21"/>
        </w:rPr>
      </w:pPr>
      <w:r>
        <w:rPr>
          <w:szCs w:val="21"/>
        </w:rPr>
        <w:br w:type="page"/>
      </w:r>
      <w:r>
        <w:rPr>
          <w:color w:val="auto"/>
          <w:szCs w:val="21"/>
        </w:rPr>
        <w:t>8．</w:t>
      </w:r>
      <w:r>
        <w:rPr>
          <w:rFonts w:hint="eastAsia"/>
          <w:color w:val="auto"/>
          <w:szCs w:val="21"/>
        </w:rPr>
        <w:t>按下表填写列入中国网络安全审查技术与认证中心</w:t>
      </w:r>
      <w:r>
        <w:rPr>
          <w:color w:val="auto"/>
          <w:szCs w:val="21"/>
        </w:rPr>
        <w:t>网站载明</w:t>
      </w:r>
      <w:r>
        <w:rPr>
          <w:rFonts w:hint="eastAsia"/>
          <w:color w:val="auto"/>
          <w:szCs w:val="21"/>
        </w:rPr>
        <w:t>的</w:t>
      </w:r>
      <w:r>
        <w:rPr>
          <w:color w:val="auto"/>
          <w:szCs w:val="21"/>
        </w:rPr>
        <w:t>13种国家信息安全产品认证的</w:t>
      </w:r>
      <w:r>
        <w:rPr>
          <w:rFonts w:hint="eastAsia"/>
          <w:color w:val="auto"/>
          <w:szCs w:val="21"/>
        </w:rPr>
        <w:t>货物投标产品列表。</w:t>
      </w:r>
      <w:r>
        <w:rPr>
          <w:rFonts w:hint="eastAsia"/>
          <w:b/>
          <w:color w:val="auto"/>
          <w:szCs w:val="21"/>
        </w:rPr>
        <w:t>（</w:t>
      </w:r>
      <w:r>
        <w:rPr>
          <w:rFonts w:hint="eastAsia"/>
          <w:b/>
          <w:bCs/>
          <w:color w:val="auto"/>
          <w:szCs w:val="21"/>
        </w:rPr>
        <w:t>采购标的包含时提供）</w:t>
      </w:r>
    </w:p>
    <w:p>
      <w:pPr>
        <w:spacing w:line="360" w:lineRule="auto"/>
        <w:jc w:val="center"/>
        <w:rPr>
          <w:color w:val="auto"/>
          <w:szCs w:val="21"/>
        </w:rPr>
      </w:pPr>
      <w:r>
        <w:rPr>
          <w:color w:val="auto"/>
          <w:szCs w:val="21"/>
        </w:rPr>
        <w:t>信息安全产品</w:t>
      </w:r>
      <w:r>
        <w:rPr>
          <w:rFonts w:hint="eastAsia"/>
          <w:color w:val="auto"/>
          <w:szCs w:val="21"/>
        </w:rPr>
        <w:t>货物投标产品列表</w:t>
      </w:r>
    </w:p>
    <w:tbl>
      <w:tblPr>
        <w:tblStyle w:val="57"/>
        <w:tblW w:w="10193"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213"/>
        <w:gridCol w:w="1417"/>
        <w:gridCol w:w="1134"/>
        <w:gridCol w:w="11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r>
              <w:rPr>
                <w:color w:val="auto"/>
                <w:kern w:val="0"/>
                <w:szCs w:val="21"/>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r>
              <w:rPr>
                <w:rFonts w:hint="eastAsia"/>
                <w:color w:val="auto"/>
                <w:kern w:val="0"/>
                <w:szCs w:val="21"/>
              </w:rPr>
              <w:t>证书编号</w:t>
            </w:r>
          </w:p>
        </w:tc>
        <w:tc>
          <w:tcPr>
            <w:tcW w:w="897" w:type="dxa"/>
            <w:tcBorders>
              <w:top w:val="single" w:color="auto" w:sz="12" w:space="0"/>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color w:val="auto"/>
                <w:kern w:val="0"/>
                <w:szCs w:val="21"/>
              </w:rPr>
            </w:pPr>
            <w:r>
              <w:rPr>
                <w:rFonts w:hint="eastAsia"/>
                <w:color w:val="auto"/>
                <w:kern w:val="0"/>
                <w:szCs w:val="21"/>
              </w:rPr>
              <w:t>产品名称</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r>
              <w:rPr>
                <w:rFonts w:hint="eastAsia"/>
                <w:color w:val="auto"/>
                <w:kern w:val="0"/>
                <w:szCs w:val="21"/>
              </w:rPr>
              <w:t>产品型号</w:t>
            </w:r>
          </w:p>
        </w:tc>
        <w:tc>
          <w:tcPr>
            <w:tcW w:w="1409" w:type="dxa"/>
            <w:tcBorders>
              <w:top w:val="single" w:color="auto" w:sz="12" w:space="0"/>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color w:val="auto"/>
                <w:kern w:val="0"/>
                <w:szCs w:val="21"/>
              </w:rPr>
            </w:pPr>
            <w:r>
              <w:rPr>
                <w:rFonts w:hint="eastAsia"/>
                <w:color w:val="auto"/>
                <w:kern w:val="0"/>
                <w:szCs w:val="21"/>
              </w:rPr>
              <w:t>生产企业</w:t>
            </w:r>
          </w:p>
        </w:tc>
        <w:tc>
          <w:tcPr>
            <w:tcW w:w="1213"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r>
              <w:rPr>
                <w:rFonts w:ascii="Helvetica" w:hAnsi="Helvetica" w:cs="Helvetica"/>
                <w:color w:val="auto"/>
                <w:szCs w:val="21"/>
                <w:shd w:val="clear" w:color="auto" w:fill="FFFFFF"/>
              </w:rPr>
              <w:t>制造商</w:t>
            </w:r>
          </w:p>
        </w:tc>
        <w:tc>
          <w:tcPr>
            <w:tcW w:w="1417"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r>
              <w:rPr>
                <w:rFonts w:hint="eastAsia"/>
                <w:color w:val="auto"/>
                <w:kern w:val="0"/>
                <w:szCs w:val="21"/>
              </w:rPr>
              <w:t>证书有效期至</w:t>
            </w:r>
          </w:p>
        </w:tc>
        <w:tc>
          <w:tcPr>
            <w:tcW w:w="1134" w:type="dxa"/>
            <w:tcBorders>
              <w:top w:val="single" w:color="auto" w:sz="12" w:space="0"/>
              <w:left w:val="nil"/>
              <w:bottom w:val="single" w:color="auto" w:sz="8" w:space="0"/>
              <w:right w:val="single" w:color="auto" w:sz="4" w:space="0"/>
            </w:tcBorders>
          </w:tcPr>
          <w:p>
            <w:pPr>
              <w:widowControl/>
              <w:spacing w:before="100" w:beforeAutospacing="1" w:after="100" w:afterAutospacing="1" w:line="376" w:lineRule="atLeast"/>
              <w:jc w:val="center"/>
              <w:rPr>
                <w:color w:val="auto"/>
                <w:kern w:val="0"/>
                <w:szCs w:val="21"/>
              </w:rPr>
            </w:pPr>
            <w:r>
              <w:rPr>
                <w:rFonts w:hint="eastAsia"/>
                <w:color w:val="auto"/>
                <w:kern w:val="0"/>
                <w:szCs w:val="21"/>
              </w:rPr>
              <w:t>证书状态</w:t>
            </w:r>
          </w:p>
        </w:tc>
        <w:tc>
          <w:tcPr>
            <w:tcW w:w="1134" w:type="dxa"/>
            <w:tcBorders>
              <w:top w:val="single" w:color="auto" w:sz="12" w:space="0"/>
              <w:left w:val="single" w:color="auto" w:sz="4" w:space="0"/>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r>
              <w:rPr>
                <w:color w:val="auto"/>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r>
              <w:rPr>
                <w:color w:val="auto"/>
                <w:kern w:val="0"/>
                <w:szCs w:val="21"/>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p>
        </w:tc>
        <w:tc>
          <w:tcPr>
            <w:tcW w:w="897" w:type="dxa"/>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color w:val="auto"/>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p>
        </w:tc>
        <w:tc>
          <w:tcPr>
            <w:tcW w:w="1409" w:type="dxa"/>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color w:val="auto"/>
                <w:kern w:val="0"/>
                <w:szCs w:val="21"/>
              </w:rPr>
            </w:pPr>
          </w:p>
        </w:tc>
        <w:tc>
          <w:tcPr>
            <w:tcW w:w="121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p>
        </w:tc>
        <w:tc>
          <w:tcPr>
            <w:tcW w:w="141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p>
        </w:tc>
        <w:tc>
          <w:tcPr>
            <w:tcW w:w="1134" w:type="dxa"/>
            <w:tcBorders>
              <w:top w:val="single" w:color="auto" w:sz="8" w:space="0"/>
              <w:left w:val="nil"/>
              <w:bottom w:val="single" w:color="auto" w:sz="8" w:space="0"/>
              <w:right w:val="single" w:color="auto" w:sz="4" w:space="0"/>
            </w:tcBorders>
          </w:tcPr>
          <w:p>
            <w:pPr>
              <w:widowControl/>
              <w:spacing w:before="100" w:beforeAutospacing="1" w:after="100" w:afterAutospacing="1" w:line="376" w:lineRule="atLeast"/>
              <w:jc w:val="center"/>
              <w:rPr>
                <w:color w:val="auto"/>
                <w:kern w:val="0"/>
                <w:szCs w:val="21"/>
              </w:rPr>
            </w:pPr>
          </w:p>
        </w:tc>
        <w:tc>
          <w:tcPr>
            <w:tcW w:w="1134" w:type="dxa"/>
            <w:tcBorders>
              <w:top w:val="nil"/>
              <w:left w:val="single" w:color="auto" w:sz="4" w:space="0"/>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r>
              <w:rPr>
                <w:color w:val="auto"/>
                <w:kern w:val="0"/>
                <w:szCs w:val="21"/>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p>
        </w:tc>
        <w:tc>
          <w:tcPr>
            <w:tcW w:w="897" w:type="dxa"/>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color w:val="auto"/>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p>
        </w:tc>
        <w:tc>
          <w:tcPr>
            <w:tcW w:w="1409" w:type="dxa"/>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color w:val="auto"/>
                <w:kern w:val="0"/>
                <w:szCs w:val="21"/>
              </w:rPr>
            </w:pPr>
          </w:p>
        </w:tc>
        <w:tc>
          <w:tcPr>
            <w:tcW w:w="121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p>
        </w:tc>
        <w:tc>
          <w:tcPr>
            <w:tcW w:w="141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p>
        </w:tc>
        <w:tc>
          <w:tcPr>
            <w:tcW w:w="1134" w:type="dxa"/>
            <w:tcBorders>
              <w:top w:val="single" w:color="auto" w:sz="8" w:space="0"/>
              <w:left w:val="nil"/>
              <w:bottom w:val="single" w:color="auto" w:sz="8" w:space="0"/>
              <w:right w:val="single" w:color="auto" w:sz="4" w:space="0"/>
            </w:tcBorders>
          </w:tcPr>
          <w:p>
            <w:pPr>
              <w:widowControl/>
              <w:spacing w:before="100" w:beforeAutospacing="1" w:after="100" w:afterAutospacing="1" w:line="376" w:lineRule="atLeast"/>
              <w:jc w:val="center"/>
              <w:rPr>
                <w:color w:val="auto"/>
                <w:kern w:val="0"/>
                <w:szCs w:val="21"/>
              </w:rPr>
            </w:pPr>
          </w:p>
        </w:tc>
        <w:tc>
          <w:tcPr>
            <w:tcW w:w="1134" w:type="dxa"/>
            <w:tcBorders>
              <w:top w:val="nil"/>
              <w:left w:val="single" w:color="auto" w:sz="4" w:space="0"/>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r>
              <w:rPr>
                <w:color w:val="auto"/>
                <w:kern w:val="0"/>
                <w:szCs w:val="21"/>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p>
        </w:tc>
        <w:tc>
          <w:tcPr>
            <w:tcW w:w="897" w:type="dxa"/>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color w:val="auto"/>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p>
        </w:tc>
        <w:tc>
          <w:tcPr>
            <w:tcW w:w="1409" w:type="dxa"/>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color w:val="auto"/>
                <w:kern w:val="0"/>
                <w:szCs w:val="21"/>
              </w:rPr>
            </w:pPr>
          </w:p>
        </w:tc>
        <w:tc>
          <w:tcPr>
            <w:tcW w:w="121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p>
        </w:tc>
        <w:tc>
          <w:tcPr>
            <w:tcW w:w="141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p>
        </w:tc>
        <w:tc>
          <w:tcPr>
            <w:tcW w:w="1134" w:type="dxa"/>
            <w:tcBorders>
              <w:top w:val="single" w:color="auto" w:sz="8" w:space="0"/>
              <w:left w:val="nil"/>
              <w:bottom w:val="single" w:color="auto" w:sz="8" w:space="0"/>
              <w:right w:val="single" w:color="auto" w:sz="4" w:space="0"/>
            </w:tcBorders>
          </w:tcPr>
          <w:p>
            <w:pPr>
              <w:widowControl/>
              <w:spacing w:before="100" w:beforeAutospacing="1" w:after="100" w:afterAutospacing="1" w:line="376" w:lineRule="atLeast"/>
              <w:jc w:val="center"/>
              <w:rPr>
                <w:color w:val="auto"/>
                <w:kern w:val="0"/>
                <w:szCs w:val="21"/>
              </w:rPr>
            </w:pPr>
          </w:p>
        </w:tc>
        <w:tc>
          <w:tcPr>
            <w:tcW w:w="1134" w:type="dxa"/>
            <w:tcBorders>
              <w:top w:val="nil"/>
              <w:left w:val="single" w:color="auto" w:sz="4" w:space="0"/>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76" w:lineRule="atLeast"/>
              <w:jc w:val="center"/>
              <w:rPr>
                <w:color w:val="auto"/>
                <w:kern w:val="0"/>
                <w:szCs w:val="21"/>
              </w:rPr>
            </w:pPr>
          </w:p>
        </w:tc>
      </w:tr>
    </w:tbl>
    <w:p>
      <w:pPr>
        <w:snapToGrid w:val="0"/>
        <w:spacing w:before="50" w:after="120" w:afterLines="50"/>
        <w:jc w:val="left"/>
        <w:rPr>
          <w:color w:val="auto"/>
          <w:szCs w:val="21"/>
        </w:rPr>
      </w:pPr>
      <w:r>
        <w:rPr>
          <w:rFonts w:hint="eastAsia"/>
          <w:color w:val="auto"/>
          <w:szCs w:val="21"/>
        </w:rPr>
        <w:t>注：</w:t>
      </w:r>
      <w:r>
        <w:rPr>
          <w:rFonts w:hint="eastAsia"/>
          <w:color w:val="auto"/>
          <w:kern w:val="0"/>
          <w:szCs w:val="21"/>
        </w:rPr>
        <w:t>产品名称须写全称</w:t>
      </w:r>
      <w:r>
        <w:rPr>
          <w:rFonts w:hint="eastAsia"/>
          <w:color w:val="auto"/>
          <w:szCs w:val="21"/>
        </w:rPr>
        <w:t>。</w:t>
      </w:r>
    </w:p>
    <w:p>
      <w:pPr>
        <w:snapToGrid w:val="0"/>
        <w:spacing w:before="50" w:after="120" w:afterLines="50" w:line="440" w:lineRule="exact"/>
        <w:jc w:val="left"/>
        <w:rPr>
          <w:color w:val="auto"/>
        </w:rPr>
      </w:pPr>
    </w:p>
    <w:p>
      <w:pPr>
        <w:snapToGrid w:val="0"/>
        <w:spacing w:before="50" w:after="120" w:afterLines="50" w:line="440" w:lineRule="exact"/>
        <w:jc w:val="left"/>
      </w:pPr>
    </w:p>
    <w:p>
      <w:pPr>
        <w:snapToGrid w:val="0"/>
        <w:spacing w:before="50" w:after="120" w:afterLines="50" w:line="400" w:lineRule="exact"/>
        <w:jc w:val="left"/>
        <w:rPr>
          <w:bCs/>
          <w:sz w:val="24"/>
        </w:rPr>
      </w:pPr>
      <w:r>
        <w:rPr>
          <w:szCs w:val="21"/>
        </w:rPr>
        <w:t>9．供应商认为应当要提交的</w:t>
      </w:r>
      <w:r>
        <w:rPr>
          <w:rFonts w:hint="eastAsia"/>
          <w:szCs w:val="21"/>
        </w:rPr>
        <w:t>其他</w:t>
      </w:r>
      <w:r>
        <w:rPr>
          <w:szCs w:val="21"/>
        </w:rPr>
        <w:t>资格证明材料。</w:t>
      </w:r>
      <w:r>
        <w:rPr>
          <w:bCs/>
          <w:sz w:val="24"/>
        </w:rPr>
        <w:t xml:space="preserve"> </w:t>
      </w:r>
    </w:p>
    <w:bookmarkEnd w:id="53"/>
    <w:p>
      <w:pPr>
        <w:snapToGrid w:val="0"/>
        <w:spacing w:before="120" w:beforeLines="50" w:after="50" w:line="440" w:lineRule="exact"/>
        <w:jc w:val="left"/>
        <w:outlineLvl w:val="1"/>
        <w:rPr>
          <w:bCs/>
          <w:sz w:val="24"/>
        </w:rPr>
      </w:pPr>
      <w:r>
        <w:rPr>
          <w:bCs/>
          <w:sz w:val="24"/>
        </w:rPr>
        <w:br w:type="page"/>
      </w:r>
      <w:r>
        <w:rPr>
          <w:bCs/>
          <w:sz w:val="24"/>
        </w:rPr>
        <w:t xml:space="preserve">2．投标文件第二册封面参考格式： </w:t>
      </w:r>
    </w:p>
    <w:p>
      <w:pPr>
        <w:snapToGrid w:val="0"/>
        <w:spacing w:before="50" w:after="120" w:afterLines="50" w:line="400" w:lineRule="exact"/>
        <w:jc w:val="left"/>
        <w:rPr>
          <w:bCs/>
          <w:sz w:val="24"/>
        </w:rPr>
      </w:pPr>
    </w:p>
    <w:p>
      <w:pPr>
        <w:snapToGrid w:val="0"/>
        <w:spacing w:before="120" w:beforeLines="50" w:after="50" w:line="360" w:lineRule="exact"/>
        <w:rPr>
          <w:sz w:val="24"/>
        </w:rPr>
      </w:pPr>
    </w:p>
    <w:p>
      <w:pPr>
        <w:snapToGrid w:val="0"/>
        <w:spacing w:before="120" w:beforeLines="50" w:after="50" w:line="360" w:lineRule="exact"/>
        <w:jc w:val="right"/>
        <w:rPr>
          <w:bCs/>
          <w:sz w:val="24"/>
        </w:rPr>
      </w:pPr>
      <w:r>
        <w:rPr>
          <w:bCs/>
          <w:sz w:val="24"/>
        </w:rPr>
        <w:t>正本/副本</w:t>
      </w:r>
    </w:p>
    <w:p>
      <w:pPr>
        <w:snapToGrid w:val="0"/>
        <w:spacing w:before="120" w:beforeLines="50" w:after="50" w:line="360" w:lineRule="exact"/>
        <w:jc w:val="center"/>
        <w:rPr>
          <w:bCs/>
          <w:sz w:val="24"/>
        </w:rPr>
      </w:pPr>
    </w:p>
    <w:p>
      <w:pPr>
        <w:snapToGrid w:val="0"/>
        <w:spacing w:before="120" w:beforeLines="50" w:after="50" w:line="360" w:lineRule="exact"/>
        <w:jc w:val="center"/>
        <w:rPr>
          <w:b/>
          <w:bCs/>
          <w:sz w:val="44"/>
          <w:szCs w:val="44"/>
        </w:rPr>
      </w:pPr>
      <w:r>
        <w:rPr>
          <w:b/>
          <w:bCs/>
          <w:sz w:val="44"/>
          <w:szCs w:val="44"/>
        </w:rPr>
        <w:t>投标文件</w:t>
      </w:r>
    </w:p>
    <w:p>
      <w:pPr>
        <w:snapToGrid w:val="0"/>
        <w:spacing w:before="120" w:beforeLines="50" w:after="50" w:line="360" w:lineRule="exact"/>
        <w:jc w:val="center"/>
        <w:rPr>
          <w:b/>
          <w:bCs/>
          <w:sz w:val="44"/>
          <w:szCs w:val="44"/>
        </w:rPr>
      </w:pPr>
    </w:p>
    <w:p>
      <w:pPr>
        <w:snapToGrid w:val="0"/>
        <w:spacing w:before="120" w:beforeLines="50" w:after="50" w:line="360" w:lineRule="exact"/>
        <w:jc w:val="center"/>
        <w:rPr>
          <w:b/>
          <w:bCs/>
          <w:sz w:val="44"/>
          <w:szCs w:val="44"/>
        </w:rPr>
      </w:pPr>
    </w:p>
    <w:p>
      <w:pPr>
        <w:snapToGrid w:val="0"/>
        <w:spacing w:before="120" w:beforeLines="50" w:after="50" w:line="360" w:lineRule="exact"/>
        <w:jc w:val="center"/>
        <w:rPr>
          <w:b/>
          <w:bCs/>
          <w:sz w:val="44"/>
          <w:szCs w:val="44"/>
        </w:rPr>
      </w:pPr>
      <w:r>
        <w:rPr>
          <w:b/>
          <w:bCs/>
          <w:sz w:val="44"/>
          <w:szCs w:val="44"/>
        </w:rPr>
        <w:t>第二册  商务技术报价文件</w:t>
      </w:r>
    </w:p>
    <w:p>
      <w:pPr>
        <w:snapToGrid w:val="0"/>
        <w:spacing w:before="120" w:beforeLines="50" w:after="50" w:line="360" w:lineRule="exact"/>
        <w:rPr>
          <w:bCs/>
          <w:sz w:val="24"/>
        </w:rPr>
      </w:pPr>
    </w:p>
    <w:p>
      <w:pPr>
        <w:snapToGrid w:val="0"/>
        <w:spacing w:before="120" w:beforeLines="50" w:after="50" w:line="360" w:lineRule="exact"/>
        <w:rPr>
          <w:bCs/>
          <w:sz w:val="24"/>
        </w:rPr>
      </w:pPr>
    </w:p>
    <w:p>
      <w:pPr>
        <w:snapToGrid w:val="0"/>
        <w:spacing w:before="120" w:beforeLines="50" w:after="50" w:line="360" w:lineRule="exact"/>
        <w:rPr>
          <w:bCs/>
          <w:sz w:val="24"/>
        </w:rPr>
      </w:pPr>
    </w:p>
    <w:p>
      <w:pPr>
        <w:snapToGrid w:val="0"/>
        <w:spacing w:before="120" w:beforeLines="50" w:after="50" w:line="360" w:lineRule="exact"/>
        <w:ind w:firstLine="720" w:firstLineChars="300"/>
        <w:rPr>
          <w:bCs/>
          <w:sz w:val="24"/>
        </w:rPr>
      </w:pPr>
      <w:r>
        <w:rPr>
          <w:bCs/>
          <w:sz w:val="24"/>
        </w:rPr>
        <w:t xml:space="preserve">项目名称： </w:t>
      </w:r>
    </w:p>
    <w:p>
      <w:pPr>
        <w:snapToGrid w:val="0"/>
        <w:spacing w:before="120" w:beforeLines="50" w:after="50" w:line="360" w:lineRule="exact"/>
        <w:ind w:firstLine="720" w:firstLineChars="300"/>
        <w:rPr>
          <w:bCs/>
          <w:sz w:val="24"/>
        </w:rPr>
      </w:pPr>
      <w:r>
        <w:rPr>
          <w:bCs/>
          <w:sz w:val="24"/>
        </w:rPr>
        <w:t>项目编号：</w:t>
      </w:r>
    </w:p>
    <w:p>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pPr>
        <w:snapToGrid w:val="0"/>
        <w:spacing w:before="120" w:beforeLines="50" w:after="50" w:line="360" w:lineRule="exact"/>
        <w:ind w:firstLine="720" w:firstLineChars="300"/>
        <w:rPr>
          <w:bCs/>
          <w:sz w:val="24"/>
        </w:rPr>
      </w:pPr>
      <w:r>
        <w:rPr>
          <w:bCs/>
          <w:sz w:val="24"/>
        </w:rPr>
        <w:t>供应商名称：</w:t>
      </w:r>
    </w:p>
    <w:p>
      <w:pPr>
        <w:snapToGrid w:val="0"/>
        <w:spacing w:before="120" w:beforeLines="50" w:after="50" w:line="360" w:lineRule="exact"/>
        <w:ind w:firstLine="720" w:firstLineChars="300"/>
        <w:rPr>
          <w:bCs/>
          <w:sz w:val="24"/>
        </w:rPr>
      </w:pPr>
      <w:r>
        <w:rPr>
          <w:bCs/>
          <w:sz w:val="24"/>
        </w:rPr>
        <w:t>供应商地址：</w:t>
      </w:r>
    </w:p>
    <w:p>
      <w:pPr>
        <w:snapToGrid w:val="0"/>
        <w:spacing w:before="120" w:beforeLines="50" w:after="50" w:line="360" w:lineRule="exact"/>
        <w:ind w:firstLine="720" w:firstLineChars="300"/>
        <w:rPr>
          <w:bCs/>
          <w:sz w:val="24"/>
        </w:rPr>
      </w:pPr>
    </w:p>
    <w:p>
      <w:pPr>
        <w:pStyle w:val="7"/>
        <w:snapToGrid w:val="0"/>
        <w:spacing w:before="50" w:after="50" w:line="360" w:lineRule="exact"/>
        <w:ind w:firstLine="960" w:firstLineChars="400"/>
        <w:rPr>
          <w:bCs/>
          <w:sz w:val="24"/>
          <w:szCs w:val="24"/>
        </w:rPr>
      </w:pPr>
    </w:p>
    <w:p>
      <w:pPr>
        <w:snapToGrid w:val="0"/>
        <w:spacing w:before="120" w:beforeLines="50" w:after="50" w:line="360" w:lineRule="exact"/>
        <w:jc w:val="center"/>
        <w:rPr>
          <w:sz w:val="24"/>
        </w:rPr>
      </w:pPr>
      <w:r>
        <w:rPr>
          <w:sz w:val="24"/>
        </w:rPr>
        <w:t xml:space="preserve">                        年  月  日</w:t>
      </w:r>
    </w:p>
    <w:p>
      <w:r>
        <w:br w:type="page"/>
      </w:r>
    </w:p>
    <w:p>
      <w:pPr>
        <w:snapToGrid w:val="0"/>
        <w:spacing w:before="50" w:after="50" w:line="440" w:lineRule="exact"/>
        <w:ind w:firstLine="138" w:firstLineChars="49"/>
        <w:jc w:val="center"/>
        <w:rPr>
          <w:b/>
          <w:sz w:val="28"/>
          <w:szCs w:val="28"/>
        </w:rPr>
      </w:pPr>
      <w:r>
        <w:rPr>
          <w:b/>
          <w:sz w:val="28"/>
          <w:szCs w:val="28"/>
        </w:rPr>
        <w:t>目录</w:t>
      </w:r>
    </w:p>
    <w:p>
      <w:pPr>
        <w:snapToGrid w:val="0"/>
        <w:spacing w:before="50" w:after="50" w:line="440" w:lineRule="exact"/>
        <w:ind w:firstLine="118" w:firstLineChars="49"/>
        <w:jc w:val="center"/>
        <w:rPr>
          <w:b/>
          <w:sz w:val="24"/>
        </w:rPr>
      </w:pPr>
      <w:r>
        <w:rPr>
          <w:b/>
          <w:sz w:val="24"/>
        </w:rPr>
        <w:t>（应有页码）</w:t>
      </w:r>
    </w:p>
    <w:p>
      <w:pPr>
        <w:rPr>
          <w:b/>
          <w:szCs w:val="21"/>
        </w:rPr>
      </w:pPr>
      <w:r>
        <w:br w:type="page"/>
      </w:r>
      <w:bookmarkStart w:id="55" w:name="_Toc462320613"/>
      <w:bookmarkStart w:id="56" w:name="_Toc455309222"/>
      <w:bookmarkStart w:id="57" w:name="_Toc462223472"/>
      <w:bookmarkStart w:id="58" w:name="_Hlk19114325"/>
      <w:r>
        <w:rPr>
          <w:szCs w:val="21"/>
        </w:rPr>
        <w:t>1．法定代表人身份证明</w:t>
      </w:r>
      <w:r>
        <w:rPr>
          <w:rFonts w:hint="eastAsia"/>
          <w:b/>
          <w:szCs w:val="21"/>
        </w:rPr>
        <w:t>（无授权</w:t>
      </w:r>
      <w:r>
        <w:rPr>
          <w:b/>
          <w:szCs w:val="21"/>
        </w:rPr>
        <w:t>代表</w:t>
      </w:r>
      <w:r>
        <w:rPr>
          <w:rFonts w:hint="eastAsia"/>
          <w:b/>
          <w:szCs w:val="21"/>
        </w:rPr>
        <w:t>时提供）</w:t>
      </w:r>
      <w:r>
        <w:rPr>
          <w:b/>
          <w:szCs w:val="21"/>
        </w:rPr>
        <w:t>：</w:t>
      </w:r>
    </w:p>
    <w:p>
      <w:pPr>
        <w:snapToGrid w:val="0"/>
        <w:spacing w:before="120" w:beforeLines="50" w:after="50" w:line="440" w:lineRule="exact"/>
        <w:jc w:val="center"/>
        <w:rPr>
          <w:szCs w:val="21"/>
        </w:rPr>
      </w:pPr>
    </w:p>
    <w:p>
      <w:pPr>
        <w:snapToGrid w:val="0"/>
        <w:spacing w:before="120" w:beforeLines="50" w:after="50" w:line="440" w:lineRule="exact"/>
        <w:jc w:val="center"/>
        <w:rPr>
          <w:b/>
          <w:szCs w:val="21"/>
        </w:rPr>
      </w:pPr>
      <w:r>
        <w:rPr>
          <w:b/>
          <w:szCs w:val="21"/>
        </w:rPr>
        <w:t>法定代表人身份证明</w:t>
      </w:r>
      <w:bookmarkEnd w:id="55"/>
      <w:bookmarkEnd w:id="56"/>
      <w:bookmarkEnd w:id="57"/>
    </w:p>
    <w:p>
      <w:pPr>
        <w:spacing w:line="360" w:lineRule="auto"/>
      </w:pPr>
    </w:p>
    <w:p>
      <w:pPr>
        <w:spacing w:line="540" w:lineRule="exact"/>
        <w:rPr>
          <w:szCs w:val="21"/>
        </w:rPr>
      </w:pPr>
      <w:r>
        <w:rPr>
          <w:szCs w:val="21"/>
        </w:rPr>
        <w:t>供应商名称：</w:t>
      </w:r>
      <w:r>
        <w:rPr>
          <w:szCs w:val="21"/>
          <w:u w:val="single"/>
        </w:rPr>
        <w:t xml:space="preserve">                                         </w:t>
      </w:r>
    </w:p>
    <w:p>
      <w:pPr>
        <w:spacing w:line="540" w:lineRule="exact"/>
        <w:rPr>
          <w:szCs w:val="21"/>
        </w:rPr>
      </w:pPr>
      <w:r>
        <w:rPr>
          <w:szCs w:val="21"/>
        </w:rPr>
        <w:t>单位性质：</w:t>
      </w:r>
      <w:r>
        <w:rPr>
          <w:szCs w:val="21"/>
          <w:u w:val="single"/>
        </w:rPr>
        <w:t xml:space="preserve">                                           </w:t>
      </w:r>
    </w:p>
    <w:p>
      <w:pPr>
        <w:spacing w:line="540" w:lineRule="exact"/>
        <w:rPr>
          <w:szCs w:val="21"/>
        </w:rPr>
      </w:pPr>
      <w:r>
        <w:rPr>
          <w:szCs w:val="21"/>
        </w:rPr>
        <w:t>地址：</w:t>
      </w:r>
      <w:r>
        <w:rPr>
          <w:szCs w:val="21"/>
          <w:u w:val="single"/>
        </w:rPr>
        <w:t xml:space="preserve">                                               </w:t>
      </w:r>
    </w:p>
    <w:p>
      <w:pPr>
        <w:spacing w:line="540" w:lineRule="exact"/>
        <w:rPr>
          <w:szCs w:val="21"/>
          <w:u w:val="single"/>
        </w:rPr>
      </w:pPr>
      <w:r>
        <w:rPr>
          <w:szCs w:val="21"/>
        </w:rPr>
        <w:t>成立时间：</w:t>
      </w:r>
      <w:r>
        <w:rPr>
          <w:szCs w:val="21"/>
          <w:u w:val="single"/>
        </w:rPr>
        <w:t xml:space="preserve">          年        月        日</w:t>
      </w:r>
    </w:p>
    <w:p>
      <w:pPr>
        <w:spacing w:line="540" w:lineRule="exact"/>
        <w:rPr>
          <w:szCs w:val="21"/>
        </w:rPr>
      </w:pPr>
      <w:r>
        <w:rPr>
          <w:szCs w:val="21"/>
        </w:rPr>
        <w:t>经营期限：</w:t>
      </w:r>
      <w:r>
        <w:rPr>
          <w:szCs w:val="21"/>
          <w:u w:val="single"/>
        </w:rPr>
        <w:t xml:space="preserve">                                           </w:t>
      </w:r>
    </w:p>
    <w:p>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pPr>
        <w:spacing w:line="540" w:lineRule="exact"/>
        <w:rPr>
          <w:szCs w:val="21"/>
        </w:rPr>
      </w:pPr>
      <w:r>
        <w:rPr>
          <w:szCs w:val="21"/>
        </w:rPr>
        <w:t>系</w:t>
      </w:r>
      <w:r>
        <w:rPr>
          <w:szCs w:val="21"/>
          <w:u w:val="single"/>
        </w:rPr>
        <w:t xml:space="preserve">                                      （ 供应商名称）</w:t>
      </w:r>
      <w:r>
        <w:rPr>
          <w:szCs w:val="21"/>
        </w:rPr>
        <w:t>的法定代表人。</w:t>
      </w:r>
    </w:p>
    <w:p>
      <w:pPr>
        <w:spacing w:line="540" w:lineRule="exact"/>
        <w:rPr>
          <w:szCs w:val="21"/>
        </w:rPr>
      </w:pPr>
    </w:p>
    <w:p>
      <w:pPr>
        <w:spacing w:line="540" w:lineRule="exact"/>
        <w:ind w:firstLine="420" w:firstLineChars="200"/>
        <w:rPr>
          <w:szCs w:val="21"/>
        </w:rPr>
      </w:pPr>
      <w:r>
        <w:rPr>
          <w:szCs w:val="21"/>
        </w:rPr>
        <w:t>特此证明。</w:t>
      </w:r>
    </w:p>
    <w:p>
      <w:pPr>
        <w:spacing w:line="360" w:lineRule="auto"/>
        <w:ind w:firstLine="4830" w:firstLineChars="2300"/>
        <w:rPr>
          <w:szCs w:val="21"/>
        </w:rPr>
      </w:pPr>
      <w:r>
        <w:rPr>
          <w:szCs w:val="21"/>
        </w:rPr>
        <w:t>供应商公章：</w:t>
      </w:r>
      <w:r>
        <w:rPr>
          <w:szCs w:val="21"/>
          <w:u w:val="single"/>
        </w:rPr>
        <w:t xml:space="preserve">                </w:t>
      </w:r>
    </w:p>
    <w:p>
      <w:pPr>
        <w:spacing w:line="360" w:lineRule="auto"/>
        <w:rPr>
          <w:szCs w:val="21"/>
        </w:rPr>
      </w:pPr>
      <w:r>
        <w:rPr>
          <w:szCs w:val="21"/>
        </w:rPr>
        <w:t xml:space="preserve">                                                   年       月       日 </w:t>
      </w:r>
    </w:p>
    <w:p>
      <w:pPr>
        <w:spacing w:line="360" w:lineRule="auto"/>
        <w:ind w:firstLine="420" w:firstLineChars="200"/>
        <w:rPr>
          <w:szCs w:val="21"/>
        </w:rPr>
      </w:pPr>
    </w:p>
    <w:p>
      <w:pPr>
        <w:spacing w:line="360" w:lineRule="auto"/>
        <w:rPr>
          <w:szCs w:val="21"/>
        </w:rPr>
      </w:pPr>
      <w:r>
        <w:rPr>
          <w:szCs w:val="21"/>
        </w:rPr>
        <w:t>附件：法定代表人身份证复印件</w:t>
      </w:r>
    </w:p>
    <w:p>
      <w:pPr>
        <w:spacing w:line="360" w:lineRule="auto"/>
        <w:rPr>
          <w:szCs w:val="21"/>
        </w:rPr>
      </w:pPr>
    </w:p>
    <w:p>
      <w:pPr>
        <w:spacing w:line="360" w:lineRule="auto"/>
      </w:pPr>
      <w:r>
        <w:t>注：法定代表人亲自出席开标会议时，须随身携带本“法定代表人身份证明”原件一份以及身份证原件，以备核查。</w:t>
      </w:r>
    </w:p>
    <w:bookmarkEnd w:id="58"/>
    <w:p>
      <w:pPr>
        <w:snapToGrid w:val="0"/>
        <w:spacing w:before="120" w:beforeLines="50" w:after="50" w:line="360" w:lineRule="exact"/>
        <w:rPr>
          <w:b/>
          <w:szCs w:val="21"/>
        </w:rPr>
      </w:pPr>
      <w:r>
        <w:rPr>
          <w:b/>
          <w:szCs w:val="21"/>
        </w:rPr>
        <w:br w:type="page"/>
      </w:r>
      <w:r>
        <w:rPr>
          <w:rFonts w:hint="eastAsia"/>
          <w:b/>
          <w:szCs w:val="21"/>
        </w:rPr>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pPr>
        <w:snapToGrid w:val="0"/>
        <w:spacing w:before="120" w:beforeLines="50" w:after="50" w:line="440" w:lineRule="exact"/>
        <w:jc w:val="center"/>
        <w:rPr>
          <w:b/>
          <w:szCs w:val="21"/>
        </w:rPr>
      </w:pPr>
    </w:p>
    <w:p>
      <w:pPr>
        <w:snapToGrid w:val="0"/>
        <w:spacing w:before="120" w:beforeLines="50" w:after="50" w:line="440" w:lineRule="exact"/>
        <w:jc w:val="center"/>
        <w:rPr>
          <w:b/>
          <w:szCs w:val="21"/>
        </w:rPr>
      </w:pPr>
      <w:r>
        <w:rPr>
          <w:b/>
          <w:szCs w:val="21"/>
        </w:rPr>
        <w:t>法定代表人授权委托书</w:t>
      </w:r>
    </w:p>
    <w:p>
      <w:pPr>
        <w:snapToGrid w:val="0"/>
        <w:spacing w:before="120" w:beforeLines="5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pPr>
        <w:snapToGrid w:val="0"/>
        <w:spacing w:before="120" w:beforeLines="50" w:after="50" w:line="440" w:lineRule="exact"/>
        <w:ind w:firstLine="420" w:firstLineChars="200"/>
        <w:rPr>
          <w:szCs w:val="21"/>
        </w:rPr>
      </w:pPr>
      <w:r>
        <w:rPr>
          <w:szCs w:val="21"/>
        </w:rPr>
        <w:t>我__</w:t>
      </w:r>
      <w:r>
        <w:rPr>
          <w:i/>
          <w:iCs/>
          <w:szCs w:val="21"/>
          <w:u w:val="single"/>
        </w:rPr>
        <w:t>（</w:t>
      </w:r>
      <w:r>
        <w:rPr>
          <w:rFonts w:hint="eastAsia"/>
          <w:i/>
          <w:iCs/>
          <w:szCs w:val="21"/>
          <w:u w:val="single"/>
        </w:rPr>
        <w:t>法定代表人姓名</w:t>
      </w:r>
      <w:r>
        <w:rPr>
          <w:i/>
          <w:iCs/>
          <w:szCs w:val="21"/>
          <w:u w:val="single"/>
        </w:rPr>
        <w:t>）</w:t>
      </w:r>
      <w:r>
        <w:rPr>
          <w:szCs w:val="21"/>
        </w:rPr>
        <w:t>_系_</w:t>
      </w:r>
      <w:r>
        <w:rPr>
          <w:i/>
          <w:iCs/>
          <w:szCs w:val="21"/>
          <w:u w:val="single"/>
        </w:rPr>
        <w:t>（供应商名称）</w:t>
      </w:r>
      <w:r>
        <w:rPr>
          <w:szCs w:val="21"/>
        </w:rPr>
        <w:t xml:space="preserve">_的法定代表人，现授权委托本单位在职职工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项目的投标活动，并代表我方全权办理针对上述项目的投标、开标、评标、签约等具体事务和签署相关文件。</w:t>
      </w:r>
    </w:p>
    <w:p>
      <w:pPr>
        <w:snapToGrid w:val="0"/>
        <w:spacing w:before="120" w:beforeLines="50" w:after="50" w:line="440" w:lineRule="exact"/>
        <w:rPr>
          <w:szCs w:val="21"/>
        </w:rPr>
      </w:pPr>
      <w:r>
        <w:rPr>
          <w:szCs w:val="21"/>
        </w:rPr>
        <w:t xml:space="preserve">    我方对被授权人的签名事项负全部责任。</w:t>
      </w:r>
    </w:p>
    <w:p>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pPr>
        <w:snapToGrid w:val="0"/>
        <w:spacing w:before="120" w:beforeLines="50" w:after="50" w:line="440" w:lineRule="exact"/>
        <w:ind w:firstLine="480"/>
        <w:rPr>
          <w:szCs w:val="21"/>
        </w:rPr>
      </w:pPr>
      <w:r>
        <w:rPr>
          <w:szCs w:val="21"/>
        </w:rPr>
        <w:t>被授权人无转委托权，特此委托。</w:t>
      </w:r>
    </w:p>
    <w:p>
      <w:pPr>
        <w:snapToGrid w:val="0"/>
        <w:spacing w:before="120" w:beforeLines="50" w:after="50" w:line="440" w:lineRule="exact"/>
        <w:rPr>
          <w:szCs w:val="21"/>
          <w:u w:val="single"/>
        </w:rPr>
      </w:pPr>
      <w:r>
        <w:rPr>
          <w:szCs w:val="21"/>
        </w:rPr>
        <w:t>被授权人签字或盖章：</w:t>
      </w:r>
      <w:r>
        <w:rPr>
          <w:szCs w:val="21"/>
          <w:u w:val="single"/>
        </w:rPr>
        <w:t xml:space="preserve">          </w:t>
      </w:r>
      <w:r>
        <w:rPr>
          <w:szCs w:val="21"/>
        </w:rPr>
        <w:t xml:space="preserve">                           法定代表人签字或盖章：</w:t>
      </w:r>
      <w:r>
        <w:rPr>
          <w:szCs w:val="21"/>
          <w:u w:val="single"/>
        </w:rPr>
        <w:t xml:space="preserve">          </w:t>
      </w:r>
    </w:p>
    <w:p>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pPr>
        <w:snapToGrid w:val="0"/>
        <w:spacing w:before="120" w:beforeLines="50" w:after="50" w:line="440" w:lineRule="exact"/>
        <w:rPr>
          <w:szCs w:val="21"/>
          <w:u w:val="single"/>
        </w:rPr>
      </w:pPr>
      <w:r>
        <w:rPr>
          <w:szCs w:val="21"/>
        </w:rPr>
        <w:t>被授权人身份证号码：</w:t>
      </w:r>
      <w:r>
        <w:rPr>
          <w:szCs w:val="21"/>
          <w:u w:val="single"/>
        </w:rPr>
        <w:t xml:space="preserve">                   </w:t>
      </w:r>
      <w:r>
        <w:rPr>
          <w:szCs w:val="21"/>
        </w:rPr>
        <w:t xml:space="preserve">            授权人身份证号码：</w:t>
      </w:r>
      <w:r>
        <w:rPr>
          <w:szCs w:val="21"/>
          <w:u w:val="single"/>
        </w:rPr>
        <w:t xml:space="preserve">                 </w:t>
      </w:r>
    </w:p>
    <w:p>
      <w:pPr>
        <w:snapToGrid w:val="0"/>
        <w:spacing w:before="120" w:beforeLines="50" w:after="50" w:line="440" w:lineRule="exact"/>
        <w:rPr>
          <w:szCs w:val="21"/>
        </w:rPr>
      </w:pPr>
      <w:r>
        <w:rPr>
          <w:rFonts w:hint="eastAsia"/>
          <w:szCs w:val="21"/>
        </w:rPr>
        <w:t>被授权人邮箱：</w:t>
      </w:r>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p>
    <w:p>
      <w:pPr>
        <w:snapToGrid w:val="0"/>
        <w:spacing w:before="120" w:beforeLines="50" w:after="50" w:line="440" w:lineRule="exact"/>
        <w:rPr>
          <w:szCs w:val="21"/>
        </w:rPr>
      </w:pPr>
      <w:r>
        <w:rPr>
          <w:szCs w:val="21"/>
        </w:rPr>
        <w:t xml:space="preserve">                                  </w:t>
      </w:r>
    </w:p>
    <w:p>
      <w:pPr>
        <w:snapToGrid w:val="0"/>
        <w:spacing w:before="120" w:beforeLines="50" w:after="50" w:line="440" w:lineRule="exact"/>
        <w:ind w:firstLine="5670" w:firstLineChars="2700"/>
        <w:rPr>
          <w:szCs w:val="21"/>
        </w:rPr>
      </w:pPr>
      <w:r>
        <w:rPr>
          <w:szCs w:val="21"/>
        </w:rPr>
        <w:t>供应商公章：</w:t>
      </w:r>
      <w:r>
        <w:rPr>
          <w:szCs w:val="21"/>
          <w:u w:val="single"/>
        </w:rPr>
        <w:t xml:space="preserve">                </w:t>
      </w:r>
    </w:p>
    <w:p>
      <w:pPr>
        <w:snapToGrid w:val="0"/>
        <w:spacing w:before="120" w:beforeLines="50" w:after="50" w:line="440" w:lineRule="exact"/>
        <w:jc w:val="center"/>
        <w:rPr>
          <w:szCs w:val="21"/>
        </w:rPr>
      </w:pPr>
      <w:r>
        <w:rPr>
          <w:szCs w:val="21"/>
        </w:rPr>
        <w:t xml:space="preserve">                                        年    月    日</w:t>
      </w:r>
    </w:p>
    <w:p>
      <w:pPr>
        <w:spacing w:line="360" w:lineRule="auto"/>
        <w:rPr>
          <w:szCs w:val="21"/>
        </w:rPr>
      </w:pPr>
      <w:r>
        <w:rPr>
          <w:szCs w:val="21"/>
        </w:rPr>
        <w:t>附件：法定代表人身份证复印件及授权代表身份证复印件</w:t>
      </w:r>
    </w:p>
    <w:p>
      <w:pPr>
        <w:spacing w:line="360" w:lineRule="auto"/>
      </w:pPr>
    </w:p>
    <w:p>
      <w:pPr>
        <w:spacing w:line="360" w:lineRule="auto"/>
      </w:pPr>
      <w:r>
        <w:t>注：授权代表出席开标会议时，须随身携带本“法定代表人授权委托书”原件一份以及本人身份证原件，以备核查。</w:t>
      </w:r>
    </w:p>
    <w:p>
      <w:pPr>
        <w:snapToGrid w:val="0"/>
        <w:spacing w:before="120" w:beforeLines="50" w:after="50" w:line="440" w:lineRule="exact"/>
        <w:jc w:val="center"/>
        <w:outlineLvl w:val="1"/>
        <w:rPr>
          <w:bCs/>
          <w:sz w:val="24"/>
        </w:rPr>
      </w:pPr>
      <w:r>
        <w:rPr>
          <w:bCs/>
          <w:sz w:val="24"/>
        </w:rPr>
        <w:br w:type="page"/>
      </w:r>
      <w:r>
        <w:rPr>
          <w:bCs/>
          <w:sz w:val="24"/>
        </w:rPr>
        <w:t>第一部分 商务文件</w:t>
      </w:r>
    </w:p>
    <w:p>
      <w:pPr>
        <w:jc w:val="center"/>
        <w:rPr>
          <w:bCs/>
          <w:sz w:val="24"/>
        </w:rPr>
      </w:pPr>
      <w:r>
        <w:t>（本商务文件供应商可自行编写，也可参照下述提纲编写）</w:t>
      </w:r>
    </w:p>
    <w:p>
      <w:pPr>
        <w:snapToGrid w:val="0"/>
        <w:spacing w:before="50" w:after="120" w:afterLines="50" w:line="440" w:lineRule="exact"/>
        <w:jc w:val="left"/>
        <w:rPr>
          <w:szCs w:val="21"/>
        </w:rPr>
      </w:pPr>
    </w:p>
    <w:p>
      <w:pPr>
        <w:snapToGrid w:val="0"/>
        <w:spacing w:before="50" w:after="120" w:afterLines="50" w:line="440" w:lineRule="exact"/>
        <w:jc w:val="left"/>
        <w:rPr>
          <w:color w:val="auto"/>
          <w:szCs w:val="21"/>
        </w:rPr>
      </w:pPr>
      <w:r>
        <w:rPr>
          <w:rFonts w:hint="eastAsia"/>
          <w:color w:val="auto"/>
          <w:szCs w:val="21"/>
        </w:rPr>
        <w:t>1</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《项目</w:t>
      </w:r>
      <w:r>
        <w:rPr>
          <w:color w:val="auto"/>
          <w:szCs w:val="21"/>
        </w:rPr>
        <w:t>采购需求</w:t>
      </w:r>
      <w:r>
        <w:rPr>
          <w:rFonts w:hint="eastAsia"/>
          <w:color w:val="auto"/>
          <w:szCs w:val="21"/>
        </w:rPr>
        <w:t>》“本项目</w:t>
      </w:r>
      <w:r>
        <w:rPr>
          <w:color w:val="auto"/>
          <w:szCs w:val="21"/>
        </w:rPr>
        <w:t>商务要求</w:t>
      </w:r>
      <w:r>
        <w:rPr>
          <w:rFonts w:hint="eastAsia"/>
          <w:color w:val="auto"/>
          <w:szCs w:val="21"/>
        </w:rPr>
        <w:t>”</w:t>
      </w:r>
      <w:r>
        <w:rPr>
          <w:color w:val="auto"/>
          <w:szCs w:val="21"/>
        </w:rPr>
        <w:t>的</w:t>
      </w:r>
      <w:r>
        <w:rPr>
          <w:rFonts w:hint="eastAsia"/>
          <w:color w:val="auto"/>
          <w:szCs w:val="21"/>
        </w:rPr>
        <w:t>响应表</w:t>
      </w:r>
    </w:p>
    <w:tbl>
      <w:tblPr>
        <w:tblStyle w:val="57"/>
        <w:tblW w:w="88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r>
              <w:rPr>
                <w:color w:val="auto"/>
                <w:szCs w:val="21"/>
              </w:rPr>
              <w:t>序号</w:t>
            </w: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r>
              <w:rPr>
                <w:color w:val="auto"/>
                <w:szCs w:val="21"/>
              </w:rPr>
              <w:t>招标文件的商务要求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r>
              <w:rPr>
                <w:color w:val="auto"/>
                <w:szCs w:val="21"/>
              </w:rPr>
              <w:t>投标文件响应内容（</w:t>
            </w:r>
            <w:r>
              <w:rPr>
                <w:rFonts w:hint="eastAsia"/>
                <w:color w:val="auto"/>
                <w:szCs w:val="21"/>
              </w:rPr>
              <w:t>可</w:t>
            </w:r>
            <w:r>
              <w:rPr>
                <w:color w:val="auto"/>
                <w:szCs w:val="21"/>
              </w:rPr>
              <w:t>注明所在页码）</w:t>
            </w: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r>
              <w:rPr>
                <w:color w:val="auto"/>
              </w:rPr>
              <w:t>偏离</w:t>
            </w:r>
            <w:r>
              <w:rPr>
                <w:color w:val="auto"/>
                <w:szCs w:val="21"/>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489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489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r>
              <w:rPr>
                <w:color w:val="auto"/>
                <w:szCs w:val="21"/>
              </w:rPr>
              <w:t>……</w:t>
            </w:r>
          </w:p>
        </w:tc>
        <w:tc>
          <w:tcPr>
            <w:tcW w:w="489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r>
    </w:tbl>
    <w:p>
      <w:pPr>
        <w:pStyle w:val="28"/>
        <w:tabs>
          <w:tab w:val="left" w:pos="2127"/>
        </w:tabs>
        <w:spacing w:line="340" w:lineRule="exact"/>
        <w:ind w:firstLine="420" w:firstLineChars="200"/>
        <w:jc w:val="left"/>
        <w:rPr>
          <w:rFonts w:ascii="Times New Roman" w:hAnsi="Times New Roman" w:cs="Times New Roman"/>
          <w:color w:val="auto"/>
        </w:rPr>
      </w:pPr>
      <w:bookmarkStart w:id="59" w:name="_Hlk48144603"/>
      <w:r>
        <w:rPr>
          <w:rFonts w:ascii="Times New Roman" w:hAnsi="Times New Roman" w:cs="Times New Roman"/>
          <w:color w:val="auto"/>
        </w:rPr>
        <w:t>注：</w:t>
      </w:r>
      <w:bookmarkStart w:id="60" w:name="_Hlk19049081"/>
      <w:r>
        <w:rPr>
          <w:rFonts w:ascii="Times New Roman" w:hAnsi="Times New Roman" w:cs="Times New Roman"/>
          <w:color w:val="auto"/>
        </w:rPr>
        <w:t>（1）本表应对招标文件</w:t>
      </w:r>
      <w:r>
        <w:rPr>
          <w:color w:val="auto"/>
        </w:rPr>
        <w:t>第</w:t>
      </w:r>
      <w:r>
        <w:rPr>
          <w:rFonts w:hint="eastAsia"/>
          <w:color w:val="auto"/>
        </w:rPr>
        <w:t>二</w:t>
      </w:r>
      <w:r>
        <w:rPr>
          <w:color w:val="auto"/>
        </w:rPr>
        <w:t>章</w:t>
      </w:r>
      <w:r>
        <w:rPr>
          <w:rFonts w:hint="eastAsia"/>
          <w:color w:val="auto"/>
        </w:rPr>
        <w:t>《项目</w:t>
      </w:r>
      <w:r>
        <w:rPr>
          <w:color w:val="auto"/>
        </w:rPr>
        <w:t>采购需求</w:t>
      </w:r>
      <w:r>
        <w:rPr>
          <w:rFonts w:hint="eastAsia"/>
          <w:color w:val="auto"/>
        </w:rPr>
        <w:t>》</w:t>
      </w:r>
      <w:r>
        <w:rPr>
          <w:rFonts w:ascii="Times New Roman" w:hAnsi="Times New Roman" w:cs="Times New Roman"/>
          <w:color w:val="auto"/>
        </w:rPr>
        <w:t>中所列商务要求进行响应，并根据响应情况在“偏离说明”栏填写正偏离或负偏离及原因，完全符合的填写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r>
        <w:rPr>
          <w:rFonts w:hint="eastAsia" w:ascii="Times New Roman" w:hAnsi="Times New Roman" w:cs="Times New Roman"/>
          <w:color w:val="auto"/>
        </w:rPr>
        <w:t>填写“</w:t>
      </w:r>
      <w:r>
        <w:rPr>
          <w:rFonts w:ascii="Times New Roman" w:hAnsi="Times New Roman" w:cs="Times New Roman"/>
          <w:color w:val="auto"/>
        </w:rPr>
        <w:t>无偏离</w:t>
      </w:r>
      <w:r>
        <w:rPr>
          <w:rFonts w:hint="eastAsia" w:ascii="Times New Roman" w:hAnsi="Times New Roman" w:cs="Times New Roman"/>
          <w:color w:val="auto"/>
        </w:rPr>
        <w:t>”时，如相应条款在投标文件其他部分描述明确不满足招标文件要求时，评标委员会将按不满足要求进行评审。</w:t>
      </w:r>
    </w:p>
    <w:p>
      <w:pPr>
        <w:ind w:firstLine="420" w:firstLineChars="200"/>
        <w:rPr>
          <w:color w:val="auto"/>
        </w:rPr>
      </w:pPr>
      <w:r>
        <w:rPr>
          <w:rFonts w:hint="eastAsia"/>
          <w:color w:val="auto"/>
        </w:rPr>
        <w:t>（2）响应表说明详见投标人须知。</w:t>
      </w:r>
    </w:p>
    <w:bookmarkEnd w:id="60"/>
    <w:p>
      <w:pPr>
        <w:pStyle w:val="28"/>
        <w:tabs>
          <w:tab w:val="left" w:pos="2127"/>
        </w:tabs>
        <w:spacing w:line="340" w:lineRule="exact"/>
        <w:ind w:firstLine="420" w:firstLineChars="200"/>
        <w:jc w:val="left"/>
        <w:rPr>
          <w:rFonts w:ascii="Times New Roman" w:hAnsi="Times New Roman" w:cs="Times New Roman"/>
          <w:color w:val="auto"/>
        </w:rPr>
      </w:pPr>
      <w:r>
        <w:rPr>
          <w:rFonts w:ascii="Times New Roman" w:hAnsi="Times New Roman" w:cs="Times New Roman"/>
          <w:color w:val="auto"/>
        </w:rPr>
        <w:t>（3）本表可扩展。</w:t>
      </w:r>
    </w:p>
    <w:bookmarkEnd w:id="59"/>
    <w:p>
      <w:pPr>
        <w:snapToGrid w:val="0"/>
        <w:spacing w:before="50" w:after="50" w:line="440" w:lineRule="exact"/>
        <w:rPr>
          <w:color w:val="auto"/>
          <w:spacing w:val="20"/>
          <w:szCs w:val="21"/>
          <w:u w:val="single"/>
        </w:rPr>
      </w:pPr>
      <w:r>
        <w:rPr>
          <w:color w:val="auto"/>
        </w:rPr>
        <w:t>法定代表人或授权代表签字或盖章</w:t>
      </w:r>
      <w:r>
        <w:rPr>
          <w:color w:val="auto"/>
          <w:spacing w:val="20"/>
          <w:szCs w:val="21"/>
        </w:rPr>
        <w:t>：</w:t>
      </w:r>
      <w:r>
        <w:rPr>
          <w:color w:val="auto"/>
          <w:spacing w:val="20"/>
          <w:szCs w:val="21"/>
          <w:u w:val="single"/>
        </w:rPr>
        <w:t xml:space="preserve">            </w:t>
      </w:r>
    </w:p>
    <w:p>
      <w:pPr>
        <w:snapToGrid w:val="0"/>
        <w:spacing w:before="50" w:after="120" w:afterLines="50" w:line="440" w:lineRule="exact"/>
        <w:jc w:val="left"/>
        <w:rPr>
          <w:color w:val="auto"/>
          <w:spacing w:val="20"/>
          <w:szCs w:val="21"/>
          <w:u w:val="single"/>
        </w:rPr>
      </w:pPr>
      <w:r>
        <w:rPr>
          <w:color w:val="auto"/>
          <w:spacing w:val="20"/>
          <w:szCs w:val="21"/>
        </w:rPr>
        <w:t>供应商公章：</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pPr>
        <w:snapToGrid w:val="0"/>
        <w:spacing w:before="50" w:after="120" w:afterLines="50" w:line="440" w:lineRule="exact"/>
        <w:jc w:val="left"/>
        <w:rPr>
          <w:strike/>
          <w:color w:val="auto"/>
          <w:szCs w:val="21"/>
        </w:rPr>
      </w:pPr>
    </w:p>
    <w:p>
      <w:pPr>
        <w:snapToGrid w:val="0"/>
        <w:spacing w:before="50" w:after="120" w:afterLines="50" w:line="440" w:lineRule="exact"/>
        <w:jc w:val="left"/>
        <w:rPr>
          <w:strike/>
          <w:color w:val="auto"/>
          <w:szCs w:val="21"/>
        </w:rPr>
      </w:pPr>
      <w:r>
        <w:rPr>
          <w:color w:val="auto"/>
          <w:szCs w:val="21"/>
        </w:rPr>
        <w:t>2．售后服务机构概况</w:t>
      </w:r>
    </w:p>
    <w:tbl>
      <w:tblPr>
        <w:tblStyle w:val="57"/>
        <w:tblW w:w="730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1422"/>
        <w:gridCol w:w="191"/>
        <w:gridCol w:w="1440"/>
        <w:gridCol w:w="889"/>
        <w:gridCol w:w="14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r>
              <w:rPr>
                <w:color w:val="auto"/>
                <w:szCs w:val="21"/>
              </w:rPr>
              <w:t>售后服务机构名称</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r>
              <w:rPr>
                <w:color w:val="auto"/>
                <w:szCs w:val="21"/>
              </w:rPr>
              <w:t>地址</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r>
              <w:rPr>
                <w:color w:val="auto"/>
                <w:szCs w:val="21"/>
              </w:rPr>
              <w:t>注册资本金</w:t>
            </w:r>
          </w:p>
        </w:tc>
        <w:tc>
          <w:tcPr>
            <w:tcW w:w="142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2520" w:type="dxa"/>
            <w:gridSpan w:val="3"/>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r>
              <w:rPr>
                <w:color w:val="auto"/>
                <w:szCs w:val="21"/>
              </w:rPr>
              <w:t>其中：供应商出资比例</w:t>
            </w:r>
          </w:p>
        </w:tc>
        <w:tc>
          <w:tcPr>
            <w:tcW w:w="143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r>
              <w:rPr>
                <w:color w:val="auto"/>
                <w:szCs w:val="21"/>
              </w:rPr>
              <w:t>员工总人数</w:t>
            </w:r>
          </w:p>
        </w:tc>
        <w:tc>
          <w:tcPr>
            <w:tcW w:w="142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2520" w:type="dxa"/>
            <w:gridSpan w:val="3"/>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ind w:left="60"/>
              <w:jc w:val="left"/>
              <w:rPr>
                <w:color w:val="auto"/>
                <w:szCs w:val="21"/>
              </w:rPr>
            </w:pPr>
            <w:r>
              <w:rPr>
                <w:color w:val="auto"/>
                <w:szCs w:val="21"/>
              </w:rPr>
              <w:t>其中：技术人员数</w:t>
            </w:r>
          </w:p>
        </w:tc>
        <w:tc>
          <w:tcPr>
            <w:tcW w:w="143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r>
              <w:rPr>
                <w:color w:val="auto"/>
                <w:szCs w:val="21"/>
              </w:rPr>
              <w:t>经营期限</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r>
              <w:rPr>
                <w:color w:val="auto"/>
                <w:szCs w:val="21"/>
              </w:rPr>
              <w:t>售后服务协议</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r>
              <w:rPr>
                <w:color w:val="auto"/>
                <w:szCs w:val="21"/>
              </w:rPr>
              <w:t>售后服务内容</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r>
              <w:rPr>
                <w:color w:val="auto"/>
                <w:szCs w:val="21"/>
              </w:rPr>
              <w:t>工作业绩</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r>
              <w:rPr>
                <w:color w:val="auto"/>
                <w:szCs w:val="21"/>
              </w:rPr>
              <w:t>服务承诺</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r>
              <w:rPr>
                <w:color w:val="auto"/>
                <w:szCs w:val="21"/>
              </w:rPr>
              <w:t>业务咨询电话</w:t>
            </w:r>
          </w:p>
        </w:tc>
        <w:tc>
          <w:tcPr>
            <w:tcW w:w="1613" w:type="dxa"/>
            <w:gridSpan w:val="2"/>
            <w:tcBorders>
              <w:top w:val="single" w:color="auto" w:sz="4" w:space="0"/>
              <w:left w:val="single" w:color="auto" w:sz="4" w:space="0"/>
              <w:bottom w:val="single" w:color="auto" w:sz="4" w:space="0"/>
              <w:right w:val="single" w:color="auto" w:sz="2" w:space="0"/>
            </w:tcBorders>
          </w:tcPr>
          <w:p>
            <w:pPr>
              <w:snapToGrid w:val="0"/>
              <w:spacing w:before="50" w:after="120" w:afterLines="50" w:line="400" w:lineRule="exact"/>
              <w:jc w:val="left"/>
              <w:rPr>
                <w:color w:val="auto"/>
                <w:szCs w:val="21"/>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20" w:afterLines="50" w:line="400" w:lineRule="exact"/>
              <w:ind w:firstLine="210" w:firstLineChars="100"/>
              <w:jc w:val="left"/>
              <w:rPr>
                <w:color w:val="auto"/>
                <w:szCs w:val="21"/>
              </w:rPr>
            </w:pPr>
            <w:r>
              <w:rPr>
                <w:color w:val="auto"/>
                <w:szCs w:val="21"/>
              </w:rPr>
              <w:t>传 真</w:t>
            </w:r>
          </w:p>
        </w:tc>
        <w:tc>
          <w:tcPr>
            <w:tcW w:w="2325" w:type="dxa"/>
            <w:gridSpan w:val="2"/>
            <w:tcBorders>
              <w:top w:val="single" w:color="auto" w:sz="4" w:space="0"/>
              <w:left w:val="single" w:color="auto" w:sz="2" w:space="0"/>
              <w:bottom w:val="single" w:color="auto" w:sz="4" w:space="0"/>
              <w:right w:val="single" w:color="auto" w:sz="2" w:space="0"/>
            </w:tcBorders>
          </w:tcPr>
          <w:p>
            <w:pPr>
              <w:snapToGrid w:val="0"/>
              <w:spacing w:before="50" w:after="120" w:afterLines="50" w:line="400" w:lineRule="exact"/>
              <w:jc w:val="lef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r>
              <w:rPr>
                <w:color w:val="auto"/>
                <w:szCs w:val="21"/>
              </w:rPr>
              <w:t>负责人</w:t>
            </w:r>
          </w:p>
        </w:tc>
        <w:tc>
          <w:tcPr>
            <w:tcW w:w="1613" w:type="dxa"/>
            <w:gridSpan w:val="2"/>
            <w:tcBorders>
              <w:top w:val="single" w:color="auto" w:sz="4" w:space="0"/>
              <w:left w:val="single" w:color="auto" w:sz="4" w:space="0"/>
              <w:bottom w:val="single" w:color="auto" w:sz="4" w:space="0"/>
              <w:right w:val="single" w:color="auto" w:sz="2" w:space="0"/>
            </w:tcBorders>
          </w:tcPr>
          <w:p>
            <w:pPr>
              <w:snapToGrid w:val="0"/>
              <w:spacing w:before="50" w:after="120" w:afterLines="50" w:line="400" w:lineRule="exact"/>
              <w:jc w:val="left"/>
              <w:rPr>
                <w:color w:val="auto"/>
                <w:szCs w:val="21"/>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20" w:afterLines="50" w:line="400" w:lineRule="exact"/>
              <w:jc w:val="left"/>
              <w:rPr>
                <w:color w:val="auto"/>
                <w:szCs w:val="21"/>
              </w:rPr>
            </w:pPr>
            <w:r>
              <w:rPr>
                <w:color w:val="auto"/>
                <w:szCs w:val="21"/>
              </w:rPr>
              <w:t>联系电话</w:t>
            </w:r>
          </w:p>
        </w:tc>
        <w:tc>
          <w:tcPr>
            <w:tcW w:w="2325" w:type="dxa"/>
            <w:gridSpan w:val="2"/>
            <w:tcBorders>
              <w:top w:val="single" w:color="auto" w:sz="4" w:space="0"/>
              <w:left w:val="single" w:color="auto" w:sz="2" w:space="0"/>
              <w:bottom w:val="single" w:color="auto" w:sz="4" w:space="0"/>
              <w:right w:val="single" w:color="auto" w:sz="4" w:space="0"/>
            </w:tcBorders>
          </w:tcPr>
          <w:p>
            <w:pPr>
              <w:snapToGrid w:val="0"/>
              <w:spacing w:before="50" w:after="120" w:afterLines="50" w:line="400" w:lineRule="exact"/>
              <w:jc w:val="left"/>
              <w:rPr>
                <w:color w:val="auto"/>
                <w:szCs w:val="21"/>
              </w:rPr>
            </w:pPr>
          </w:p>
        </w:tc>
      </w:tr>
    </w:tbl>
    <w:p>
      <w:pPr>
        <w:pStyle w:val="19"/>
        <w:snapToGrid w:val="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法定代表人或授权代表签字或盖章：</w:t>
      </w:r>
      <w:r>
        <w:rPr>
          <w:rFonts w:ascii="Times New Roman" w:hAnsi="Times New Roman" w:eastAsia="宋体" w:cs="Times New Roman"/>
          <w:color w:val="auto"/>
          <w:sz w:val="21"/>
          <w:szCs w:val="21"/>
          <w:u w:val="single"/>
        </w:rPr>
        <w:t>　　　　　</w:t>
      </w:r>
    </w:p>
    <w:p>
      <w:pPr>
        <w:pStyle w:val="17"/>
        <w:snapToGrid w:val="0"/>
        <w:ind w:left="1260" w:hanging="420"/>
        <w:rPr>
          <w:color w:val="auto"/>
          <w:sz w:val="21"/>
          <w:szCs w:val="21"/>
        </w:rPr>
      </w:pPr>
      <w:r>
        <w:rPr>
          <w:color w:val="auto"/>
          <w:sz w:val="21"/>
          <w:szCs w:val="21"/>
        </w:rPr>
        <w:t>供应商公章：</w:t>
      </w:r>
      <w:r>
        <w:rPr>
          <w:color w:val="auto"/>
          <w:sz w:val="21"/>
          <w:szCs w:val="21"/>
          <w:u w:val="single"/>
        </w:rPr>
        <w:t xml:space="preserve">               </w:t>
      </w:r>
      <w:r>
        <w:rPr>
          <w:color w:val="auto"/>
          <w:sz w:val="21"/>
          <w:szCs w:val="21"/>
        </w:rPr>
        <w:t xml:space="preserve">                　 年    月　 日</w:t>
      </w:r>
    </w:p>
    <w:p>
      <w:pPr>
        <w:pStyle w:val="19"/>
        <w:snapToGrid w:val="0"/>
        <w:rPr>
          <w:rFonts w:ascii="Times New Roman" w:hAnsi="Times New Roman" w:eastAsia="宋体" w:cs="Times New Roman"/>
          <w:sz w:val="21"/>
          <w:szCs w:val="21"/>
        </w:rPr>
      </w:pPr>
      <w:r>
        <w:rPr>
          <w:rFonts w:ascii="Times New Roman" w:hAnsi="Times New Roman" w:eastAsia="宋体" w:cs="Times New Roman"/>
          <w:sz w:val="21"/>
          <w:szCs w:val="21"/>
        </w:rPr>
        <w:t>注：（1）应提供供应商或其分支机构或其售后服务机构的营业执照复印件；</w:t>
      </w:r>
    </w:p>
    <w:p>
      <w:pPr>
        <w:pStyle w:val="19"/>
        <w:snapToGrid w:val="0"/>
        <w:rPr>
          <w:rFonts w:ascii="Times New Roman" w:hAnsi="Times New Roman" w:eastAsia="宋体" w:cs="Times New Roman"/>
          <w:sz w:val="21"/>
          <w:szCs w:val="21"/>
        </w:rPr>
      </w:pPr>
      <w:r>
        <w:rPr>
          <w:rFonts w:ascii="Times New Roman" w:hAnsi="Times New Roman" w:eastAsia="宋体" w:cs="Times New Roman"/>
          <w:sz w:val="21"/>
          <w:szCs w:val="21"/>
        </w:rPr>
        <w:t>（2）供应商授权本地服务机构的，须提供授权书或服务协议复印件。</w:t>
      </w:r>
    </w:p>
    <w:p>
      <w:pPr>
        <w:pStyle w:val="19"/>
        <w:snapToGrid w:val="0"/>
        <w:rPr>
          <w:rFonts w:ascii="Times New Roman" w:hAnsi="Times New Roman" w:eastAsia="宋体" w:cs="Times New Roman"/>
          <w:sz w:val="21"/>
          <w:szCs w:val="21"/>
        </w:rPr>
      </w:pPr>
      <w:r>
        <w:rPr>
          <w:rFonts w:ascii="Times New Roman" w:hAnsi="Times New Roman" w:eastAsia="宋体" w:cs="Times New Roman"/>
          <w:sz w:val="21"/>
          <w:szCs w:val="21"/>
        </w:rPr>
        <w:t>（3）售后服务机构人员应提供名单及学历、职称、社保等证明；装备应提供发票等证明。</w:t>
      </w:r>
    </w:p>
    <w:p>
      <w:pPr>
        <w:snapToGrid w:val="0"/>
        <w:spacing w:before="50" w:after="120" w:afterLines="50" w:line="440" w:lineRule="exact"/>
        <w:jc w:val="left"/>
        <w:rPr>
          <w:szCs w:val="21"/>
        </w:rPr>
      </w:pPr>
    </w:p>
    <w:p>
      <w:pPr>
        <w:snapToGrid w:val="0"/>
        <w:spacing w:before="50" w:after="120" w:afterLines="50" w:line="440" w:lineRule="exact"/>
        <w:jc w:val="left"/>
        <w:rPr>
          <w:color w:val="auto"/>
          <w:szCs w:val="21"/>
        </w:rPr>
      </w:pPr>
      <w:r>
        <w:rPr>
          <w:color w:val="auto"/>
          <w:szCs w:val="21"/>
        </w:rPr>
        <w:t>3．售后服务方案（如有</w:t>
      </w:r>
      <w:r>
        <w:rPr>
          <w:rFonts w:hint="eastAsia"/>
          <w:color w:val="auto"/>
          <w:szCs w:val="21"/>
        </w:rPr>
        <w:t>，</w:t>
      </w:r>
      <w:r>
        <w:rPr>
          <w:color w:val="auto"/>
          <w:szCs w:val="21"/>
        </w:rPr>
        <w:t>供应商自行编写）</w:t>
      </w:r>
    </w:p>
    <w:p>
      <w:pPr>
        <w:snapToGrid w:val="0"/>
        <w:spacing w:before="50" w:after="120" w:afterLines="50" w:line="440" w:lineRule="exact"/>
        <w:jc w:val="left"/>
        <w:rPr>
          <w:szCs w:val="21"/>
        </w:rPr>
      </w:pPr>
    </w:p>
    <w:p>
      <w:pPr>
        <w:snapToGrid w:val="0"/>
        <w:spacing w:before="50" w:after="120" w:afterLines="50" w:line="440" w:lineRule="exact"/>
        <w:jc w:val="left"/>
        <w:rPr>
          <w:spacing w:val="20"/>
          <w:szCs w:val="21"/>
          <w:u w:val="single"/>
        </w:rPr>
      </w:pPr>
    </w:p>
    <w:p>
      <w:pPr>
        <w:snapToGrid w:val="0"/>
        <w:spacing w:before="50" w:after="120" w:afterLines="50" w:line="440" w:lineRule="exact"/>
        <w:jc w:val="left"/>
        <w:rPr>
          <w:spacing w:val="20"/>
          <w:szCs w:val="21"/>
          <w:u w:val="single"/>
        </w:rPr>
        <w:sectPr>
          <w:headerReference r:id="rId16" w:type="first"/>
          <w:headerReference r:id="rId15" w:type="default"/>
          <w:pgSz w:w="11906" w:h="16838"/>
          <w:pgMar w:top="1418" w:right="1133" w:bottom="1246" w:left="1418" w:header="851" w:footer="992" w:gutter="0"/>
          <w:cols w:space="720" w:num="1"/>
          <w:docGrid w:linePitch="312" w:charSpace="0"/>
        </w:sectPr>
      </w:pPr>
    </w:p>
    <w:p>
      <w:pPr>
        <w:snapToGrid w:val="0"/>
        <w:spacing w:before="50" w:after="120" w:afterLines="50"/>
        <w:jc w:val="left"/>
        <w:rPr>
          <w:b/>
          <w:color w:val="auto"/>
          <w:szCs w:val="21"/>
        </w:rPr>
      </w:pPr>
      <w:r>
        <w:rPr>
          <w:rFonts w:hint="eastAsia"/>
          <w:color w:val="auto"/>
          <w:szCs w:val="21"/>
        </w:rPr>
        <w:t>5</w:t>
      </w:r>
      <w:r>
        <w:rPr>
          <w:color w:val="auto"/>
          <w:szCs w:val="21"/>
        </w:rPr>
        <w:t>．近年供应商类似成功案例的业绩证明</w:t>
      </w:r>
      <w:r>
        <w:rPr>
          <w:rFonts w:hint="eastAsia"/>
          <w:color w:val="auto"/>
          <w:szCs w:val="21"/>
        </w:rPr>
        <w:t>。</w:t>
      </w:r>
    </w:p>
    <w:p>
      <w:pPr>
        <w:snapToGrid w:val="0"/>
        <w:spacing w:before="50" w:after="120" w:afterLines="50"/>
        <w:jc w:val="center"/>
        <w:rPr>
          <w:color w:val="auto"/>
          <w:szCs w:val="21"/>
        </w:rPr>
      </w:pPr>
      <w:r>
        <w:rPr>
          <w:b/>
          <w:color w:val="auto"/>
          <w:szCs w:val="21"/>
        </w:rPr>
        <w:t>类似成功案例业绩一览表</w:t>
      </w:r>
    </w:p>
    <w:tbl>
      <w:tblPr>
        <w:tblStyle w:val="57"/>
        <w:tblW w:w="141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93"/>
        <w:gridCol w:w="3895"/>
        <w:gridCol w:w="1230"/>
        <w:gridCol w:w="1230"/>
        <w:gridCol w:w="1640"/>
        <w:gridCol w:w="31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5" w:hRule="atLeast"/>
        </w:trPr>
        <w:tc>
          <w:tcPr>
            <w:tcW w:w="299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auto"/>
                <w:szCs w:val="21"/>
              </w:rPr>
            </w:pPr>
            <w:r>
              <w:rPr>
                <w:color w:val="auto"/>
                <w:szCs w:val="21"/>
              </w:rPr>
              <w:t>采购单位名称</w:t>
            </w:r>
          </w:p>
        </w:tc>
        <w:tc>
          <w:tcPr>
            <w:tcW w:w="389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auto"/>
                <w:szCs w:val="21"/>
              </w:rPr>
            </w:pPr>
            <w:r>
              <w:rPr>
                <w:color w:val="auto"/>
                <w:szCs w:val="21"/>
              </w:rPr>
              <w:t>产品或项目名称</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auto"/>
                <w:szCs w:val="21"/>
              </w:rPr>
            </w:pPr>
            <w:r>
              <w:rPr>
                <w:color w:val="auto"/>
                <w:szCs w:val="21"/>
              </w:rPr>
              <w:t>采购</w:t>
            </w:r>
          </w:p>
          <w:p>
            <w:pPr>
              <w:snapToGrid w:val="0"/>
              <w:spacing w:line="240" w:lineRule="exact"/>
              <w:jc w:val="center"/>
              <w:rPr>
                <w:color w:val="auto"/>
                <w:szCs w:val="21"/>
              </w:rPr>
            </w:pPr>
            <w:r>
              <w:rPr>
                <w:color w:val="auto"/>
                <w:szCs w:val="21"/>
              </w:rPr>
              <w:t>数量</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auto"/>
                <w:szCs w:val="21"/>
              </w:rPr>
            </w:pPr>
            <w:r>
              <w:rPr>
                <w:color w:val="auto"/>
                <w:szCs w:val="21"/>
              </w:rPr>
              <w:t>单价</w:t>
            </w:r>
            <w:r>
              <w:rPr>
                <w:rFonts w:hint="eastAsia"/>
                <w:color w:val="auto"/>
                <w:szCs w:val="21"/>
              </w:rPr>
              <w:t>（元）</w:t>
            </w:r>
          </w:p>
        </w:tc>
        <w:tc>
          <w:tcPr>
            <w:tcW w:w="16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auto"/>
                <w:szCs w:val="21"/>
              </w:rPr>
            </w:pPr>
            <w:r>
              <w:rPr>
                <w:color w:val="auto"/>
                <w:szCs w:val="21"/>
              </w:rPr>
              <w:t>合同总价</w:t>
            </w:r>
            <w:r>
              <w:rPr>
                <w:rFonts w:hint="eastAsia"/>
                <w:color w:val="auto"/>
                <w:szCs w:val="21"/>
              </w:rPr>
              <w:t>（元）</w:t>
            </w:r>
          </w:p>
        </w:tc>
        <w:tc>
          <w:tcPr>
            <w:tcW w:w="3181" w:type="dxa"/>
            <w:vMerge w:val="restart"/>
            <w:tcBorders>
              <w:top w:val="single" w:color="auto" w:sz="4" w:space="0"/>
              <w:left w:val="single" w:color="auto" w:sz="4" w:space="0"/>
              <w:right w:val="single" w:color="auto" w:sz="4" w:space="0"/>
            </w:tcBorders>
            <w:vAlign w:val="center"/>
          </w:tcPr>
          <w:p>
            <w:pPr>
              <w:jc w:val="center"/>
              <w:rPr>
                <w:color w:val="auto"/>
                <w:szCs w:val="21"/>
              </w:rPr>
            </w:pPr>
            <w:r>
              <w:rPr>
                <w:color w:val="auto"/>
                <w:szCs w:val="21"/>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33" w:hRule="atLeast"/>
        </w:trPr>
        <w:tc>
          <w:tcPr>
            <w:tcW w:w="2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38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3181" w:type="dxa"/>
            <w:vMerge w:val="continue"/>
            <w:tcBorders>
              <w:left w:val="single" w:color="auto" w:sz="4" w:space="0"/>
              <w:bottom w:val="single" w:color="auto" w:sz="4" w:space="0"/>
              <w:right w:val="single" w:color="auto" w:sz="4" w:space="0"/>
            </w:tcBorders>
          </w:tcPr>
          <w:p>
            <w:pPr>
              <w:snapToGrid w:val="0"/>
              <w:spacing w:line="240" w:lineRule="exact"/>
              <w:jc w:val="center"/>
              <w:rPr>
                <w:strike/>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trPr>
        <w:tc>
          <w:tcPr>
            <w:tcW w:w="299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color w:val="auto"/>
                <w:szCs w:val="21"/>
              </w:rPr>
            </w:pPr>
          </w:p>
        </w:tc>
        <w:tc>
          <w:tcPr>
            <w:tcW w:w="389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color w:val="auto"/>
                <w:szCs w:val="21"/>
              </w:rPr>
            </w:pPr>
          </w:p>
        </w:tc>
        <w:tc>
          <w:tcPr>
            <w:tcW w:w="123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color w:val="auto"/>
                <w:szCs w:val="21"/>
              </w:rPr>
            </w:pPr>
          </w:p>
        </w:tc>
        <w:tc>
          <w:tcPr>
            <w:tcW w:w="123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color w:val="auto"/>
                <w:szCs w:val="21"/>
              </w:rPr>
            </w:pPr>
          </w:p>
        </w:tc>
        <w:tc>
          <w:tcPr>
            <w:tcW w:w="164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color w:val="auto"/>
                <w:szCs w:val="21"/>
              </w:rPr>
            </w:pPr>
          </w:p>
        </w:tc>
        <w:tc>
          <w:tcPr>
            <w:tcW w:w="3181"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38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16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299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38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16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38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16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38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16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color w:val="auto"/>
                <w:szCs w:val="21"/>
              </w:rPr>
            </w:pPr>
          </w:p>
        </w:tc>
      </w:tr>
    </w:tbl>
    <w:p>
      <w:pPr>
        <w:pStyle w:val="19"/>
        <w:snapToGri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注：</w:t>
      </w:r>
    </w:p>
    <w:p>
      <w:pPr>
        <w:pStyle w:val="19"/>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（1）</w:t>
      </w:r>
      <w:r>
        <w:rPr>
          <w:rFonts w:ascii="Times New Roman" w:hAnsi="Times New Roman" w:eastAsia="宋体" w:cs="Times New Roman"/>
          <w:color w:val="auto"/>
          <w:sz w:val="21"/>
          <w:szCs w:val="21"/>
        </w:rPr>
        <w:t>未附</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的业绩无效</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见第四章《评标方法及评标标准》规定</w:t>
      </w:r>
    </w:p>
    <w:p>
      <w:pPr>
        <w:pStyle w:val="19"/>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2</w:t>
      </w:r>
      <w:r>
        <w:rPr>
          <w:rFonts w:ascii="Times New Roman" w:hAnsi="Times New Roman" w:eastAsia="宋体" w:cs="Times New Roman"/>
          <w:color w:val="auto"/>
          <w:szCs w:val="21"/>
        </w:rPr>
        <w:t>）</w:t>
      </w:r>
      <w:r>
        <w:rPr>
          <w:rFonts w:ascii="Times New Roman" w:hAnsi="Times New Roman" w:eastAsia="宋体" w:cs="Times New Roman"/>
          <w:color w:val="auto"/>
          <w:sz w:val="21"/>
          <w:szCs w:val="21"/>
        </w:rPr>
        <w:t>类似项目的定义见第四章《评标方法及评标标准》规定。</w:t>
      </w:r>
    </w:p>
    <w:p>
      <w:pPr>
        <w:rPr>
          <w:color w:val="auto"/>
        </w:rPr>
      </w:pPr>
      <w:r>
        <w:rPr>
          <w:color w:val="auto"/>
          <w:szCs w:val="21"/>
        </w:rPr>
        <w:t>（</w:t>
      </w:r>
      <w:r>
        <w:rPr>
          <w:rFonts w:hint="eastAsia"/>
          <w:color w:val="auto"/>
          <w:szCs w:val="21"/>
        </w:rPr>
        <w:t>3</w:t>
      </w:r>
      <w:r>
        <w:rPr>
          <w:color w:val="auto"/>
          <w:szCs w:val="21"/>
        </w:rPr>
        <w:t>）</w:t>
      </w:r>
      <w:bookmarkStart w:id="61" w:name="_Hlk19049505"/>
      <w:r>
        <w:rPr>
          <w:color w:val="auto"/>
        </w:rPr>
        <w:t>本表可拓展并逐页签字及盖章。</w:t>
      </w:r>
      <w:bookmarkEnd w:id="61"/>
    </w:p>
    <w:p>
      <w:pPr>
        <w:pStyle w:val="19"/>
        <w:snapToGrid w:val="0"/>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法定代表人或授权代表签字或盖章：</w:t>
      </w:r>
      <w:r>
        <w:rPr>
          <w:rFonts w:ascii="Times New Roman" w:hAnsi="Times New Roman" w:eastAsia="宋体" w:cs="Times New Roman"/>
          <w:color w:val="auto"/>
          <w:sz w:val="21"/>
          <w:szCs w:val="21"/>
          <w:u w:val="single"/>
        </w:rPr>
        <w:t>　　　　　</w:t>
      </w:r>
    </w:p>
    <w:p>
      <w:pPr>
        <w:snapToGrid w:val="0"/>
        <w:spacing w:before="50"/>
        <w:jc w:val="left"/>
        <w:rPr>
          <w:color w:val="auto"/>
          <w:szCs w:val="21"/>
        </w:rPr>
      </w:pPr>
      <w:r>
        <w:rPr>
          <w:color w:val="auto"/>
          <w:szCs w:val="21"/>
        </w:rPr>
        <w:t>供应商公章：</w:t>
      </w:r>
      <w:r>
        <w:rPr>
          <w:color w:val="auto"/>
          <w:szCs w:val="21"/>
          <w:u w:val="single"/>
        </w:rPr>
        <w:t xml:space="preserve">                 </w:t>
      </w:r>
      <w:r>
        <w:rPr>
          <w:color w:val="auto"/>
          <w:szCs w:val="21"/>
        </w:rPr>
        <w:t xml:space="preserve">                                           年    月   日</w:t>
      </w:r>
    </w:p>
    <w:p>
      <w:pPr>
        <w:snapToGrid w:val="0"/>
        <w:spacing w:before="50"/>
        <w:jc w:val="left"/>
        <w:rPr>
          <w:color w:val="auto"/>
          <w:szCs w:val="21"/>
        </w:rPr>
      </w:pPr>
    </w:p>
    <w:p>
      <w:pPr>
        <w:snapToGrid w:val="0"/>
        <w:spacing w:before="50"/>
        <w:jc w:val="left"/>
        <w:rPr>
          <w:color w:val="auto"/>
          <w:szCs w:val="21"/>
        </w:rPr>
        <w:sectPr>
          <w:pgSz w:w="16838" w:h="11906" w:orient="landscape"/>
          <w:pgMar w:top="1418" w:right="1418" w:bottom="1133" w:left="1246" w:header="851" w:footer="992" w:gutter="0"/>
          <w:cols w:space="720" w:num="1"/>
          <w:docGrid w:linePitch="312" w:charSpace="0"/>
        </w:sectPr>
      </w:pPr>
    </w:p>
    <w:p>
      <w:pPr>
        <w:snapToGrid w:val="0"/>
        <w:spacing w:before="50" w:after="120" w:afterLines="50"/>
        <w:jc w:val="left"/>
        <w:rPr>
          <w:szCs w:val="21"/>
        </w:rPr>
      </w:pPr>
      <w:r>
        <w:rPr>
          <w:rFonts w:hint="eastAsia"/>
          <w:szCs w:val="21"/>
        </w:rPr>
        <w:t>6</w:t>
      </w:r>
      <w:r>
        <w:rPr>
          <w:szCs w:val="21"/>
        </w:rPr>
        <w:t>．符合政府采购政策加分条件证明材料。</w:t>
      </w:r>
    </w:p>
    <w:p>
      <w:pPr>
        <w:snapToGrid w:val="0"/>
        <w:spacing w:before="50" w:after="120" w:afterLines="50"/>
        <w:jc w:val="left"/>
        <w:rPr>
          <w:szCs w:val="21"/>
        </w:rPr>
      </w:pPr>
      <w:r>
        <w:rPr>
          <w:rFonts w:hint="eastAsia"/>
          <w:szCs w:val="21"/>
        </w:rPr>
        <w:t>6.1列入节能产品政府采购品目清单及环境标志产品政府采购品目清单的货物清单。</w:t>
      </w:r>
      <w:r>
        <w:rPr>
          <w:rFonts w:hint="eastAsia"/>
          <w:b/>
          <w:szCs w:val="21"/>
        </w:rPr>
        <w:t>（如有，须提供）</w:t>
      </w:r>
    </w:p>
    <w:p>
      <w:pPr>
        <w:snapToGrid w:val="0"/>
        <w:spacing w:before="50" w:after="120" w:afterLines="50"/>
        <w:jc w:val="left"/>
        <w:rPr>
          <w:szCs w:val="21"/>
        </w:rPr>
      </w:pPr>
      <w:r>
        <w:rPr>
          <w:rFonts w:hint="eastAsia"/>
          <w:szCs w:val="21"/>
        </w:rPr>
        <w:t>投标产品中如有列入节能产品政府采购品目清单及环境标志产品政府采购品目清单的货物，应按下表提供清单。</w:t>
      </w:r>
    </w:p>
    <w:p>
      <w:pPr>
        <w:spacing w:line="360" w:lineRule="auto"/>
        <w:jc w:val="center"/>
        <w:rPr>
          <w:szCs w:val="21"/>
        </w:rPr>
      </w:pPr>
      <w:r>
        <w:rPr>
          <w:rFonts w:hint="eastAsia"/>
          <w:b/>
          <w:szCs w:val="21"/>
        </w:rPr>
        <w:t>节能产品及环境标志产品清单</w:t>
      </w:r>
    </w:p>
    <w:tbl>
      <w:tblPr>
        <w:tblStyle w:val="57"/>
        <w:tblW w:w="9328"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color="auto" w:sz="12" w:space="0"/>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color="auto" w:sz="12" w:space="0"/>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rFonts w:ascii="Helvetica" w:hAnsi="Helvetica" w:cs="Helvetica"/>
                <w:color w:val="333333"/>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r>
    </w:tbl>
    <w:p>
      <w:pPr>
        <w:snapToGrid w:val="0"/>
        <w:spacing w:before="50" w:after="120" w:afterLines="50"/>
        <w:jc w:val="left"/>
        <w:rPr>
          <w:szCs w:val="21"/>
        </w:rPr>
      </w:pPr>
      <w:r>
        <w:rPr>
          <w:rFonts w:hint="eastAsia"/>
          <w:szCs w:val="21"/>
        </w:rPr>
        <w:t>注：类别填写节能或环境标志，品目填写编号及产品名称如A</w:t>
      </w:r>
      <w:r>
        <w:rPr>
          <w:szCs w:val="21"/>
        </w:rPr>
        <w:t>02010104</w:t>
      </w:r>
      <w:r>
        <w:rPr>
          <w:rFonts w:hint="eastAsia"/>
          <w:szCs w:val="21"/>
        </w:rPr>
        <w:t>台式计算机。</w:t>
      </w:r>
    </w:p>
    <w:p>
      <w:pPr>
        <w:snapToGrid w:val="0"/>
        <w:spacing w:before="50" w:after="120" w:afterLines="50"/>
        <w:jc w:val="left"/>
        <w:rPr>
          <w:szCs w:val="21"/>
        </w:rPr>
      </w:pPr>
    </w:p>
    <w:p>
      <w:pPr>
        <w:snapToGrid w:val="0"/>
        <w:spacing w:before="50" w:after="120" w:afterLines="50"/>
        <w:jc w:val="left"/>
        <w:rPr>
          <w:szCs w:val="21"/>
        </w:rPr>
      </w:pPr>
      <w:r>
        <w:rPr>
          <w:rFonts w:hint="eastAsia"/>
          <w:szCs w:val="21"/>
        </w:rPr>
        <w:t>6</w:t>
      </w:r>
      <w:r>
        <w:rPr>
          <w:szCs w:val="21"/>
        </w:rPr>
        <w:t>.2在本项目投标产品中采用80%以上（含）广西工业产品的证明材料。</w:t>
      </w:r>
      <w:r>
        <w:rPr>
          <w:rFonts w:hint="eastAsia"/>
          <w:b/>
          <w:szCs w:val="21"/>
        </w:rPr>
        <w:t>（如提供，则须按以下声明函格式提供）</w:t>
      </w:r>
    </w:p>
    <w:p>
      <w:pPr>
        <w:snapToGrid w:val="0"/>
        <w:spacing w:before="50" w:after="120" w:afterLines="50"/>
        <w:jc w:val="left"/>
        <w:rPr>
          <w:kern w:val="0"/>
          <w:szCs w:val="21"/>
        </w:rPr>
      </w:pPr>
      <w:r>
        <w:rPr>
          <w:szCs w:val="21"/>
        </w:rPr>
        <w:t>证明材料须提供生产企业营业执照复印件、《广西工业产品声明函》原件以及供应商认为需提供的其他证明材料。不符合桂政办发[2015]78号《广西壮族自治区人民政府办公厅关于印发招标采购促进广西工业产品产销对接实施细则的通知》要求的，无需提供。</w:t>
      </w:r>
    </w:p>
    <w:p>
      <w:pPr>
        <w:spacing w:line="360" w:lineRule="auto"/>
        <w:jc w:val="center"/>
        <w:rPr>
          <w:b/>
          <w:szCs w:val="21"/>
        </w:rPr>
      </w:pPr>
    </w:p>
    <w:p>
      <w:pPr>
        <w:spacing w:line="360" w:lineRule="auto"/>
        <w:jc w:val="center"/>
        <w:rPr>
          <w:b/>
          <w:szCs w:val="21"/>
        </w:rPr>
      </w:pPr>
      <w:r>
        <w:rPr>
          <w:b/>
          <w:szCs w:val="21"/>
        </w:rPr>
        <w:t>广西工业产品声明函</w:t>
      </w:r>
    </w:p>
    <w:p>
      <w:pPr>
        <w:ind w:firstLine="420" w:firstLineChars="200"/>
        <w:rPr>
          <w:szCs w:val="21"/>
        </w:rPr>
      </w:pPr>
      <w:r>
        <w:rPr>
          <w:szCs w:val="21"/>
        </w:rPr>
        <w:t>本公司郑重声明，根据《招标采购促进广西工业产品产销对接实施细则》的规定，本公司在本次投标/竞标中或者工程项目中提供的下述产品为广西工业产品，详情如下：</w:t>
      </w:r>
    </w:p>
    <w:tbl>
      <w:tblPr>
        <w:tblStyle w:val="57"/>
        <w:tblW w:w="9328"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9"/>
        <w:gridCol w:w="1947"/>
        <w:gridCol w:w="1550"/>
        <w:gridCol w:w="948"/>
        <w:gridCol w:w="2174"/>
        <w:gridCol w:w="1090"/>
        <w:gridCol w:w="7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4" w:hRule="atLeast"/>
          <w:jc w:val="center"/>
        </w:trPr>
        <w:tc>
          <w:tcPr>
            <w:tcW w:w="849"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序号</w:t>
            </w:r>
          </w:p>
        </w:tc>
        <w:tc>
          <w:tcPr>
            <w:tcW w:w="1947"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产品名称</w:t>
            </w:r>
          </w:p>
        </w:tc>
        <w:tc>
          <w:tcPr>
            <w:tcW w:w="1550"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型号和规格</w:t>
            </w:r>
          </w:p>
        </w:tc>
        <w:tc>
          <w:tcPr>
            <w:tcW w:w="948"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数量</w:t>
            </w:r>
          </w:p>
        </w:tc>
        <w:tc>
          <w:tcPr>
            <w:tcW w:w="2174"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制造厂商及原产地</w:t>
            </w:r>
          </w:p>
        </w:tc>
        <w:tc>
          <w:tcPr>
            <w:tcW w:w="1090"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投标价</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3" w:hRule="atLeast"/>
          <w:jc w:val="center"/>
        </w:trPr>
        <w:tc>
          <w:tcPr>
            <w:tcW w:w="849"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1</w:t>
            </w:r>
          </w:p>
        </w:tc>
        <w:tc>
          <w:tcPr>
            <w:tcW w:w="194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15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94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217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109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1" w:hRule="atLeast"/>
          <w:jc w:val="center"/>
        </w:trPr>
        <w:tc>
          <w:tcPr>
            <w:tcW w:w="849"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2</w:t>
            </w:r>
          </w:p>
        </w:tc>
        <w:tc>
          <w:tcPr>
            <w:tcW w:w="194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15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94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217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109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849"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w:t>
            </w:r>
          </w:p>
        </w:tc>
        <w:tc>
          <w:tcPr>
            <w:tcW w:w="194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15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94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217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109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8" w:hRule="atLeast"/>
          <w:jc w:val="center"/>
        </w:trPr>
        <w:tc>
          <w:tcPr>
            <w:tcW w:w="849" w:type="dxa"/>
            <w:tcBorders>
              <w:top w:val="nil"/>
              <w:left w:val="single" w:color="auto" w:sz="12" w:space="0"/>
              <w:bottom w:val="single" w:color="auto" w:sz="12"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 </w:t>
            </w:r>
          </w:p>
        </w:tc>
        <w:tc>
          <w:tcPr>
            <w:tcW w:w="1947" w:type="dxa"/>
            <w:tcBorders>
              <w:top w:val="nil"/>
              <w:left w:val="nil"/>
              <w:bottom w:val="single" w:color="auto" w:sz="12"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广西工业产品合计价格：</w:t>
            </w:r>
          </w:p>
        </w:tc>
        <w:tc>
          <w:tcPr>
            <w:tcW w:w="2498" w:type="dxa"/>
            <w:gridSpan w:val="2"/>
            <w:tcBorders>
              <w:top w:val="nil"/>
              <w:left w:val="nil"/>
              <w:bottom w:val="single" w:color="auto" w:sz="12"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c>
          <w:tcPr>
            <w:tcW w:w="2174" w:type="dxa"/>
            <w:tcBorders>
              <w:top w:val="nil"/>
              <w:left w:val="nil"/>
              <w:bottom w:val="single" w:color="auto" w:sz="12" w:space="0"/>
              <w:right w:val="single" w:color="auto" w:sz="8"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r>
              <w:rPr>
                <w:kern w:val="0"/>
                <w:szCs w:val="21"/>
              </w:rPr>
              <w:t>占投标总价比例：</w:t>
            </w:r>
          </w:p>
        </w:tc>
        <w:tc>
          <w:tcPr>
            <w:tcW w:w="1860" w:type="dxa"/>
            <w:gridSpan w:val="2"/>
            <w:tcBorders>
              <w:top w:val="nil"/>
              <w:left w:val="nil"/>
              <w:bottom w:val="single" w:color="auto" w:sz="12" w:space="0"/>
              <w:right w:val="single" w:color="auto" w:sz="12" w:space="0"/>
            </w:tcBorders>
            <w:tcMar>
              <w:top w:w="0" w:type="dxa"/>
              <w:left w:w="57" w:type="dxa"/>
              <w:bottom w:w="0" w:type="dxa"/>
              <w:right w:w="57" w:type="dxa"/>
            </w:tcMar>
            <w:vAlign w:val="center"/>
          </w:tcPr>
          <w:p>
            <w:pPr>
              <w:widowControl/>
              <w:spacing w:before="100" w:beforeAutospacing="1" w:after="100" w:afterAutospacing="1" w:line="376" w:lineRule="atLeast"/>
              <w:jc w:val="center"/>
              <w:rPr>
                <w:kern w:val="0"/>
                <w:szCs w:val="21"/>
              </w:rPr>
            </w:pPr>
          </w:p>
        </w:tc>
      </w:tr>
    </w:tbl>
    <w:p>
      <w:pPr>
        <w:spacing w:line="360" w:lineRule="auto"/>
        <w:ind w:firstLine="420"/>
        <w:rPr>
          <w:szCs w:val="21"/>
        </w:rPr>
      </w:pPr>
      <w:r>
        <w:rPr>
          <w:szCs w:val="21"/>
        </w:rPr>
        <w:t>本公司对上述声明的真实性负责。如有虚假，将依法承担相应责任。</w:t>
      </w:r>
    </w:p>
    <w:p>
      <w:pPr>
        <w:spacing w:line="360" w:lineRule="auto"/>
        <w:ind w:firstLine="420"/>
        <w:rPr>
          <w:szCs w:val="21"/>
        </w:rPr>
      </w:pPr>
      <w:r>
        <w:rPr>
          <w:szCs w:val="21"/>
        </w:rPr>
        <w:t>企业名称(盖章)：</w:t>
      </w:r>
    </w:p>
    <w:p>
      <w:pPr>
        <w:spacing w:line="360" w:lineRule="auto"/>
        <w:ind w:firstLine="420"/>
        <w:rPr>
          <w:szCs w:val="21"/>
        </w:rPr>
      </w:pPr>
      <w:r>
        <w:rPr>
          <w:szCs w:val="21"/>
        </w:rPr>
        <w:t>日 期：</w:t>
      </w:r>
    </w:p>
    <w:p>
      <w:pPr>
        <w:snapToGrid w:val="0"/>
        <w:spacing w:before="50" w:after="120" w:afterLines="50"/>
        <w:jc w:val="left"/>
        <w:rPr>
          <w:szCs w:val="21"/>
        </w:rPr>
      </w:pPr>
      <w:r>
        <w:rPr>
          <w:szCs w:val="21"/>
        </w:rPr>
        <w:t>注：（1）广西工业产品，是指在广西境内生产的工业产品，具体以生产企业的工商营业执照注册所在地为准。</w:t>
      </w:r>
    </w:p>
    <w:p>
      <w:pPr>
        <w:snapToGrid w:val="0"/>
        <w:spacing w:before="50" w:after="120" w:afterLines="50"/>
        <w:ind w:firstLine="315" w:firstLineChars="150"/>
        <w:jc w:val="left"/>
        <w:rPr>
          <w:szCs w:val="21"/>
        </w:rPr>
      </w:pPr>
      <w:r>
        <w:rPr>
          <w:szCs w:val="21"/>
        </w:rPr>
        <w:t>（2）使用广西工业产品80%以上，是指参加政府采购项目时供货范围中采用广西工业产品的金额占本次投标或竞标总金额的80%以上(含)；或者工程建设使用广西工业产品占工程建设所需产品总金额的80%以上(含)。</w:t>
      </w:r>
    </w:p>
    <w:p>
      <w:pPr>
        <w:snapToGrid w:val="0"/>
        <w:spacing w:before="50" w:after="120" w:afterLines="50"/>
        <w:ind w:firstLine="315" w:firstLineChars="150"/>
        <w:jc w:val="left"/>
        <w:rPr>
          <w:szCs w:val="21"/>
        </w:rPr>
      </w:pPr>
      <w:r>
        <w:rPr>
          <w:szCs w:val="21"/>
        </w:rPr>
        <w:t>（3）供应商未按要求提供证明材料的不得分，使用广西工业产品比例小于80%的不得分。如提供虚假证明材料，本次投标按否决投标处理，并按照财库〔2016〕125号《财政部关于在政府采购活动中查询及使用信用记录有关问题的通知》规定依法承担失信联合惩戒。</w:t>
      </w:r>
    </w:p>
    <w:p>
      <w:pPr>
        <w:snapToGrid w:val="0"/>
        <w:spacing w:before="50" w:after="120" w:afterLines="50"/>
        <w:ind w:firstLine="315" w:firstLineChars="150"/>
        <w:jc w:val="left"/>
        <w:rPr>
          <w:szCs w:val="21"/>
        </w:rPr>
      </w:pPr>
    </w:p>
    <w:p>
      <w:pPr>
        <w:snapToGrid w:val="0"/>
        <w:spacing w:before="50" w:after="120" w:afterLines="50"/>
        <w:jc w:val="left"/>
        <w:rPr>
          <w:szCs w:val="21"/>
        </w:rPr>
      </w:pPr>
      <w:bookmarkStart w:id="62" w:name="_Hlk15634997"/>
      <w:r>
        <w:rPr>
          <w:rFonts w:hint="eastAsia"/>
          <w:szCs w:val="21"/>
        </w:rPr>
        <w:t>6</w:t>
      </w:r>
      <w:r>
        <w:rPr>
          <w:szCs w:val="21"/>
        </w:rPr>
        <w:t>.3</w:t>
      </w:r>
      <w:r>
        <w:rPr>
          <w:rFonts w:hint="eastAsia"/>
          <w:szCs w:val="21"/>
        </w:rPr>
        <w:t>采购的标的若包含农副产品的，供应商如满足攻坚扶贫政策加分的，可提供政府采购提供企业注册地证明材料以及按照《农产品产地证明管理规定》出具农产品产地证明材料。</w:t>
      </w:r>
      <w:bookmarkStart w:id="63" w:name="_Hlk19050120"/>
      <w:r>
        <w:rPr>
          <w:rFonts w:hint="eastAsia"/>
          <w:szCs w:val="21"/>
        </w:rPr>
        <w:t>如供应商所投农产品产地不属于贫困县或被查出列入《摘帽贫困县名单》，则按照虚假投标报有关部门处理。未提供证明材料的不得加分。</w:t>
      </w:r>
      <w:r>
        <w:rPr>
          <w:szCs w:val="21"/>
        </w:rPr>
        <w:t>（</w:t>
      </w:r>
      <w:r>
        <w:rPr>
          <w:rFonts w:hint="eastAsia"/>
          <w:szCs w:val="21"/>
        </w:rPr>
        <w:t>投标的农产品产地为</w:t>
      </w:r>
      <w:r>
        <w:rPr>
          <w:szCs w:val="21"/>
        </w:rPr>
        <w:t>非</w:t>
      </w:r>
      <w:r>
        <w:rPr>
          <w:rFonts w:hint="eastAsia"/>
          <w:szCs w:val="21"/>
        </w:rPr>
        <w:t>贫困县的供应商</w:t>
      </w:r>
      <w:r>
        <w:rPr>
          <w:szCs w:val="21"/>
        </w:rPr>
        <w:t>无需提供）</w:t>
      </w:r>
      <w:r>
        <w:rPr>
          <w:rFonts w:hint="eastAsia"/>
          <w:szCs w:val="21"/>
        </w:rPr>
        <w:t>。（采购标的包含农副产品采购项目时提供）</w:t>
      </w:r>
    </w:p>
    <w:bookmarkEnd w:id="62"/>
    <w:bookmarkEnd w:id="63"/>
    <w:p>
      <w:pPr>
        <w:snapToGrid w:val="0"/>
        <w:spacing w:before="50" w:after="120" w:afterLines="50"/>
        <w:ind w:firstLine="315" w:firstLineChars="150"/>
        <w:jc w:val="left"/>
      </w:pPr>
    </w:p>
    <w:p>
      <w:pPr>
        <w:snapToGrid w:val="0"/>
        <w:spacing w:before="50" w:after="120" w:afterLines="50"/>
        <w:ind w:firstLine="315" w:firstLineChars="150"/>
        <w:jc w:val="left"/>
        <w:rPr>
          <w:szCs w:val="21"/>
        </w:rPr>
      </w:pPr>
    </w:p>
    <w:p>
      <w:pPr>
        <w:snapToGrid w:val="0"/>
        <w:spacing w:before="50" w:after="120" w:afterLines="50"/>
        <w:jc w:val="left"/>
        <w:rPr>
          <w:szCs w:val="21"/>
        </w:rPr>
      </w:pPr>
      <w:bookmarkStart w:id="64" w:name="_Hlk19050322"/>
      <w:r>
        <w:rPr>
          <w:rFonts w:hint="eastAsia"/>
          <w:szCs w:val="21"/>
        </w:rPr>
        <w:t>7</w:t>
      </w:r>
      <w:r>
        <w:rPr>
          <w:szCs w:val="21"/>
        </w:rPr>
        <w:t>．供应商认为需提供的其他材料（根据招标文件编写）</w:t>
      </w:r>
    </w:p>
    <w:bookmarkEnd w:id="64"/>
    <w:p>
      <w:pPr>
        <w:snapToGrid w:val="0"/>
        <w:spacing w:before="50" w:after="120" w:afterLines="50"/>
        <w:jc w:val="left"/>
        <w:rPr>
          <w:szCs w:val="21"/>
        </w:rPr>
      </w:pPr>
      <w:r>
        <w:rPr>
          <w:szCs w:val="21"/>
        </w:rPr>
        <w:br w:type="page"/>
      </w:r>
      <w:r>
        <w:rPr>
          <w:rFonts w:hint="eastAsia"/>
          <w:szCs w:val="21"/>
        </w:rPr>
        <w:t>8</w:t>
      </w:r>
      <w:r>
        <w:rPr>
          <w:szCs w:val="21"/>
        </w:rPr>
        <w:t>.代理服务费承诺书</w:t>
      </w:r>
    </w:p>
    <w:p>
      <w:pPr>
        <w:spacing w:line="360" w:lineRule="exact"/>
        <w:rPr>
          <w:szCs w:val="21"/>
        </w:rPr>
      </w:pPr>
      <w:r>
        <w:rPr>
          <w:szCs w:val="21"/>
        </w:rPr>
        <w:t>致：广西机电设备招标有限公司</w:t>
      </w:r>
    </w:p>
    <w:p>
      <w:pPr>
        <w:spacing w:line="360" w:lineRule="exact"/>
        <w:ind w:firstLine="420" w:firstLineChars="200"/>
        <w:rPr>
          <w:szCs w:val="21"/>
        </w:rPr>
      </w:pPr>
      <w:r>
        <w:rPr>
          <w:szCs w:val="21"/>
        </w:rPr>
        <w:t>我单位参加了贵方组织的招标项目编号为</w:t>
      </w:r>
      <w:r>
        <w:rPr>
          <w:b/>
          <w:szCs w:val="21"/>
        </w:rPr>
        <w:t>（</w:t>
      </w:r>
      <w:r>
        <w:rPr>
          <w:szCs w:val="21"/>
          <w:u w:val="single"/>
        </w:rPr>
        <w:t xml:space="preserve">                    )</w:t>
      </w:r>
      <w:r>
        <w:rPr>
          <w:szCs w:val="21"/>
        </w:rPr>
        <w:t>的投标，并递交了投标保证金</w:t>
      </w:r>
      <w:bookmarkStart w:id="65" w:name="_Hlk19050352"/>
      <w:r>
        <w:rPr>
          <w:szCs w:val="21"/>
        </w:rPr>
        <w:t>（</w:t>
      </w:r>
      <w:r>
        <w:rPr>
          <w:kern w:val="0"/>
          <w:szCs w:val="21"/>
        </w:rPr>
        <w:t>¥</w:t>
      </w:r>
      <w:r>
        <w:rPr>
          <w:szCs w:val="21"/>
          <w:u w:val="single"/>
        </w:rPr>
        <w:t xml:space="preserve">       </w:t>
      </w:r>
      <w:r>
        <w:rPr>
          <w:szCs w:val="21"/>
        </w:rPr>
        <w:t>）</w:t>
      </w:r>
      <w:bookmarkEnd w:id="65"/>
      <w:r>
        <w:rPr>
          <w:szCs w:val="21"/>
        </w:rPr>
        <w:t>，在此我方说明如下：</w:t>
      </w:r>
    </w:p>
    <w:p>
      <w:pPr>
        <w:spacing w:line="360" w:lineRule="exact"/>
        <w:ind w:firstLine="420" w:firstLineChars="200"/>
        <w:rPr>
          <w:szCs w:val="21"/>
        </w:rPr>
      </w:pPr>
      <w:bookmarkStart w:id="66" w:name="_Hlk19050395"/>
      <w:r>
        <w:rPr>
          <w:szCs w:val="21"/>
        </w:rPr>
        <w:t>1．我方承诺，若我单位中标，保证在领取中标通知书之前，按本项目招标文件的规定标准向贵单位支付代理服务费。如我单位未按规定缴纳代理服务费，贵方可</w:t>
      </w:r>
      <w:r>
        <w:rPr>
          <w:rFonts w:hint="eastAsia"/>
          <w:szCs w:val="21"/>
        </w:rPr>
        <w:t>不退还</w:t>
      </w:r>
      <w:r>
        <w:rPr>
          <w:szCs w:val="21"/>
        </w:rPr>
        <w:t>我单位提交的投标保证金</w:t>
      </w:r>
      <w:r>
        <w:rPr>
          <w:rFonts w:hint="eastAsia"/>
          <w:szCs w:val="21"/>
        </w:rPr>
        <w:t>，并从中</w:t>
      </w:r>
      <w:r>
        <w:rPr>
          <w:szCs w:val="21"/>
        </w:rPr>
        <w:t>扣除</w:t>
      </w:r>
      <w:r>
        <w:rPr>
          <w:rFonts w:hint="eastAsia"/>
          <w:szCs w:val="21"/>
        </w:rPr>
        <w:t>代理服务费</w:t>
      </w:r>
      <w:r>
        <w:rPr>
          <w:szCs w:val="21"/>
        </w:rPr>
        <w:t>，余款按下列账户退回。</w:t>
      </w:r>
    </w:p>
    <w:bookmarkEnd w:id="66"/>
    <w:p>
      <w:pPr>
        <w:spacing w:line="360" w:lineRule="exact"/>
        <w:ind w:firstLine="420" w:firstLineChars="200"/>
        <w:rPr>
          <w:szCs w:val="21"/>
        </w:rPr>
      </w:pPr>
      <w:bookmarkStart w:id="67" w:name="_Hlk19050518"/>
      <w:r>
        <w:rPr>
          <w:szCs w:val="21"/>
        </w:rPr>
        <w:t>我公司选择第</w:t>
      </w:r>
      <w:r>
        <w:rPr>
          <w:szCs w:val="21"/>
          <w:u w:val="single"/>
        </w:rPr>
        <w:t xml:space="preserve">     </w:t>
      </w:r>
      <w:r>
        <w:rPr>
          <w:szCs w:val="21"/>
        </w:rPr>
        <w:t>种方式缴纳代理服务费。</w:t>
      </w:r>
    </w:p>
    <w:p>
      <w:pPr>
        <w:spacing w:line="360" w:lineRule="exact"/>
        <w:ind w:firstLine="420" w:firstLineChars="200"/>
        <w:rPr>
          <w:szCs w:val="21"/>
        </w:rPr>
      </w:pPr>
      <w:r>
        <w:rPr>
          <w:szCs w:val="21"/>
        </w:rPr>
        <w:t>第一种方式：一次性足额缴纳代理服务费。</w:t>
      </w:r>
    </w:p>
    <w:p>
      <w:pPr>
        <w:spacing w:line="360" w:lineRule="exact"/>
        <w:ind w:firstLine="420" w:firstLineChars="200"/>
        <w:rPr>
          <w:szCs w:val="21"/>
        </w:rPr>
      </w:pPr>
      <w:r>
        <w:rPr>
          <w:szCs w:val="21"/>
        </w:rPr>
        <w:t>第二种方式：从投标保证金中抵扣代理服务费，不足部分补交。</w:t>
      </w:r>
    </w:p>
    <w:bookmarkEnd w:id="67"/>
    <w:p>
      <w:pPr>
        <w:spacing w:line="360" w:lineRule="exact"/>
        <w:ind w:firstLine="420" w:firstLineChars="200"/>
        <w:rPr>
          <w:szCs w:val="21"/>
        </w:rPr>
      </w:pPr>
      <w:r>
        <w:rPr>
          <w:szCs w:val="21"/>
        </w:rPr>
        <w:t>2．如我单位投标保证金无法原路返回，请按下表账户信息无息退还。</w:t>
      </w:r>
    </w:p>
    <w:tbl>
      <w:tblPr>
        <w:tblStyle w:val="57"/>
        <w:tblW w:w="8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3533" w:type="dxa"/>
            <w:vAlign w:val="center"/>
          </w:tcPr>
          <w:p>
            <w:pPr>
              <w:spacing w:line="360" w:lineRule="exact"/>
              <w:jc w:val="center"/>
              <w:rPr>
                <w:szCs w:val="21"/>
              </w:rPr>
            </w:pPr>
            <w:r>
              <w:rPr>
                <w:szCs w:val="21"/>
              </w:rPr>
              <w:t>收款户名</w:t>
            </w:r>
          </w:p>
        </w:tc>
        <w:tc>
          <w:tcPr>
            <w:tcW w:w="5431"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3533" w:type="dxa"/>
            <w:vAlign w:val="center"/>
          </w:tcPr>
          <w:p>
            <w:pPr>
              <w:spacing w:line="360" w:lineRule="exact"/>
              <w:jc w:val="center"/>
              <w:rPr>
                <w:szCs w:val="21"/>
              </w:rPr>
            </w:pPr>
            <w:r>
              <w:rPr>
                <w:szCs w:val="21"/>
              </w:rPr>
              <w:t>账    号</w:t>
            </w:r>
          </w:p>
        </w:tc>
        <w:tc>
          <w:tcPr>
            <w:tcW w:w="5431"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3533" w:type="dxa"/>
            <w:vAlign w:val="center"/>
          </w:tcPr>
          <w:p>
            <w:pPr>
              <w:spacing w:line="360" w:lineRule="exact"/>
              <w:jc w:val="center"/>
              <w:rPr>
                <w:szCs w:val="21"/>
              </w:rPr>
            </w:pPr>
            <w:r>
              <w:rPr>
                <w:szCs w:val="21"/>
              </w:rPr>
              <w:t>开户银行</w:t>
            </w:r>
          </w:p>
        </w:tc>
        <w:tc>
          <w:tcPr>
            <w:tcW w:w="5431"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3533" w:type="dxa"/>
            <w:vAlign w:val="center"/>
          </w:tcPr>
          <w:p>
            <w:pPr>
              <w:spacing w:line="360" w:lineRule="exact"/>
              <w:jc w:val="center"/>
              <w:rPr>
                <w:szCs w:val="21"/>
              </w:rPr>
            </w:pPr>
            <w:r>
              <w:rPr>
                <w:szCs w:val="21"/>
              </w:rPr>
              <w:t>银行行号</w:t>
            </w:r>
          </w:p>
        </w:tc>
        <w:tc>
          <w:tcPr>
            <w:tcW w:w="5431" w:type="dxa"/>
            <w:vAlign w:val="center"/>
          </w:tcPr>
          <w:p>
            <w:pPr>
              <w:spacing w:line="360" w:lineRule="exact"/>
              <w:jc w:val="center"/>
              <w:rPr>
                <w:szCs w:val="21"/>
              </w:rPr>
            </w:pPr>
          </w:p>
        </w:tc>
      </w:tr>
    </w:tbl>
    <w:p>
      <w:pPr>
        <w:spacing w:line="360" w:lineRule="exact"/>
        <w:ind w:firstLine="420" w:firstLineChars="200"/>
        <w:rPr>
          <w:szCs w:val="21"/>
        </w:rPr>
      </w:pPr>
      <w:r>
        <w:rPr>
          <w:szCs w:val="21"/>
        </w:rPr>
        <w:t>3．如果我单位未遵守有关招标文件关于投标保证金的规定，贵方可以没收我单位投标保证金。</w:t>
      </w:r>
    </w:p>
    <w:p>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pPr>
        <w:spacing w:line="360" w:lineRule="exact"/>
        <w:ind w:firstLine="420" w:firstLineChars="200"/>
        <w:rPr>
          <w:szCs w:val="21"/>
        </w:rPr>
      </w:pPr>
      <w:r>
        <w:rPr>
          <w:szCs w:val="21"/>
        </w:rPr>
        <w:t>第一种方式：开具收据。</w:t>
      </w:r>
    </w:p>
    <w:p>
      <w:pPr>
        <w:spacing w:line="360" w:lineRule="exact"/>
        <w:ind w:firstLine="420" w:firstLineChars="200"/>
        <w:rPr>
          <w:szCs w:val="21"/>
        </w:rPr>
      </w:pPr>
      <w:r>
        <w:rPr>
          <w:szCs w:val="21"/>
        </w:rPr>
        <w:t>第二种方式：开具增值税普通发票。开票信息如下：1.公司名称</w:t>
      </w:r>
      <w:r>
        <w:rPr>
          <w:szCs w:val="21"/>
          <w:u w:val="single"/>
        </w:rPr>
        <w:t xml:space="preserve">                      </w:t>
      </w:r>
      <w:r>
        <w:rPr>
          <w:szCs w:val="21"/>
        </w:rPr>
        <w:t>；2.纳税人识别号</w:t>
      </w:r>
      <w:r>
        <w:rPr>
          <w:szCs w:val="21"/>
          <w:u w:val="single"/>
        </w:rPr>
        <w:t xml:space="preserve">                     </w:t>
      </w:r>
      <w:r>
        <w:rPr>
          <w:szCs w:val="21"/>
        </w:rPr>
        <w:t>；</w:t>
      </w:r>
    </w:p>
    <w:p>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pPr>
        <w:spacing w:before="120" w:beforeLines="50" w:line="360" w:lineRule="auto"/>
        <w:jc w:val="left"/>
        <w:rPr>
          <w:szCs w:val="21"/>
        </w:rPr>
      </w:pPr>
    </w:p>
    <w:p>
      <w:pPr>
        <w:spacing w:before="120" w:beforeLines="50" w:line="360" w:lineRule="auto"/>
        <w:jc w:val="left"/>
        <w:rPr>
          <w:szCs w:val="21"/>
          <w:u w:val="single"/>
        </w:rPr>
      </w:pPr>
      <w:r>
        <w:rPr>
          <w:szCs w:val="21"/>
        </w:rPr>
        <w:t>供应商名称（盖章）：</w:t>
      </w:r>
      <w:r>
        <w:rPr>
          <w:szCs w:val="21"/>
          <w:u w:val="single"/>
        </w:rPr>
        <w:t xml:space="preserve">                              </w:t>
      </w:r>
    </w:p>
    <w:p>
      <w:pPr>
        <w:spacing w:before="120" w:beforeLines="50" w:line="360" w:lineRule="auto"/>
        <w:jc w:val="left"/>
        <w:rPr>
          <w:szCs w:val="21"/>
        </w:rPr>
      </w:pPr>
      <w:r>
        <w:rPr>
          <w:szCs w:val="21"/>
        </w:rPr>
        <w:t>供应商地址：</w:t>
      </w:r>
      <w:r>
        <w:rPr>
          <w:szCs w:val="21"/>
          <w:u w:val="single"/>
        </w:rPr>
        <w:t xml:space="preserve">                                     </w:t>
      </w:r>
    </w:p>
    <w:p>
      <w:pPr>
        <w:spacing w:before="120" w:beforeLines="50" w:line="360" w:lineRule="auto"/>
        <w:jc w:val="left"/>
        <w:rPr>
          <w:szCs w:val="21"/>
          <w:u w:val="single"/>
        </w:rPr>
      </w:pPr>
      <w:r>
        <w:rPr>
          <w:szCs w:val="21"/>
        </w:rPr>
        <w:t>法定代表人或授权代表签字或盖章：</w:t>
      </w:r>
      <w:r>
        <w:rPr>
          <w:szCs w:val="21"/>
          <w:u w:val="single"/>
        </w:rPr>
        <w:t xml:space="preserve">                          </w:t>
      </w:r>
    </w:p>
    <w:p>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before="120" w:beforeLines="50" w:line="360" w:lineRule="auto"/>
        <w:jc w:val="left"/>
        <w:rPr>
          <w:szCs w:val="21"/>
        </w:rPr>
      </w:pPr>
      <w:r>
        <w:rPr>
          <w:szCs w:val="21"/>
        </w:rPr>
        <w:t>说明：</w:t>
      </w:r>
    </w:p>
    <w:p>
      <w:pPr>
        <w:spacing w:line="340" w:lineRule="exact"/>
        <w:ind w:firstLine="420" w:firstLineChars="200"/>
        <w:rPr>
          <w:szCs w:val="21"/>
        </w:rPr>
      </w:pPr>
      <w:r>
        <w:rPr>
          <w:szCs w:val="21"/>
        </w:rPr>
        <w:t>（1）为保障资金安全，上述账户不能为私人账户。</w:t>
      </w:r>
    </w:p>
    <w:p>
      <w:pPr>
        <w:spacing w:line="340" w:lineRule="exact"/>
        <w:ind w:firstLine="420" w:firstLineChars="200"/>
        <w:rPr>
          <w:szCs w:val="21"/>
        </w:rPr>
      </w:pPr>
      <w:r>
        <w:rPr>
          <w:szCs w:val="21"/>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pPr>
        <w:jc w:val="center"/>
      </w:pPr>
      <w:r>
        <w:t>（3）如供应商未及时收到退回款项，请与广西机电设备招标有限公司财务部联系。广西机电设备招标有限公司财务部联系方式：联系人：吴茜；电话：0771-2821398；传真：0771-2843545。</w:t>
      </w:r>
    </w:p>
    <w:p>
      <w:pPr>
        <w:jc w:val="center"/>
        <w:rPr>
          <w:b/>
          <w:bCs/>
          <w:szCs w:val="21"/>
        </w:rPr>
      </w:pPr>
      <w:r>
        <w:br w:type="page"/>
      </w:r>
    </w:p>
    <w:p>
      <w:pPr>
        <w:snapToGrid w:val="0"/>
        <w:spacing w:before="120" w:beforeLines="50" w:after="50" w:line="440" w:lineRule="exact"/>
        <w:jc w:val="center"/>
        <w:outlineLvl w:val="1"/>
        <w:rPr>
          <w:bCs/>
          <w:sz w:val="24"/>
        </w:rPr>
      </w:pPr>
      <w:r>
        <w:rPr>
          <w:bCs/>
          <w:sz w:val="24"/>
        </w:rPr>
        <w:t>第二部分 技术文件</w:t>
      </w:r>
    </w:p>
    <w:p>
      <w:pPr>
        <w:jc w:val="center"/>
      </w:pPr>
      <w:r>
        <w:t>（本</w:t>
      </w:r>
      <w:r>
        <w:rPr>
          <w:rFonts w:hint="eastAsia"/>
        </w:rPr>
        <w:t>技术</w:t>
      </w:r>
      <w:r>
        <w:t>文件除标注</w:t>
      </w:r>
      <w:r>
        <w:rPr>
          <w:rFonts w:hint="eastAsia"/>
        </w:rPr>
        <w:t>“必须提供”的部分外，其余部分</w:t>
      </w:r>
      <w:r>
        <w:t>供应商可自行编写，也可参照下述提纲编写）</w:t>
      </w:r>
    </w:p>
    <w:p>
      <w:pPr>
        <w:snapToGrid w:val="0"/>
        <w:spacing w:before="50" w:after="120" w:afterLines="50"/>
        <w:jc w:val="left"/>
        <w:rPr>
          <w:szCs w:val="21"/>
        </w:rPr>
      </w:pPr>
    </w:p>
    <w:p>
      <w:pPr>
        <w:rPr>
          <w:color w:val="auto"/>
          <w:szCs w:val="21"/>
        </w:rPr>
      </w:pPr>
      <w:r>
        <w:rPr>
          <w:rFonts w:hint="eastAsia"/>
          <w:color w:val="auto"/>
          <w:szCs w:val="21"/>
        </w:rPr>
        <w:t>1</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《项目</w:t>
      </w:r>
      <w:r>
        <w:rPr>
          <w:color w:val="auto"/>
          <w:szCs w:val="21"/>
        </w:rPr>
        <w:t>采购需求</w:t>
      </w:r>
      <w:r>
        <w:rPr>
          <w:rFonts w:hint="eastAsia"/>
          <w:color w:val="auto"/>
          <w:szCs w:val="21"/>
        </w:rPr>
        <w:t>》技术</w:t>
      </w:r>
      <w:r>
        <w:rPr>
          <w:color w:val="auto"/>
          <w:szCs w:val="21"/>
        </w:rPr>
        <w:t>要求的</w:t>
      </w:r>
      <w:r>
        <w:rPr>
          <w:rFonts w:hint="eastAsia"/>
          <w:color w:val="auto"/>
          <w:szCs w:val="21"/>
        </w:rPr>
        <w:t>响应表</w:t>
      </w:r>
    </w:p>
    <w:p>
      <w:pPr>
        <w:rPr>
          <w:color w:val="auto"/>
          <w:szCs w:val="21"/>
        </w:rPr>
      </w:pPr>
    </w:p>
    <w:p>
      <w:pPr>
        <w:ind w:firstLine="420" w:firstLineChars="200"/>
        <w:rPr>
          <w:color w:val="auto"/>
          <w:szCs w:val="21"/>
        </w:rPr>
      </w:pPr>
      <w:r>
        <w:rPr>
          <w:color w:val="auto"/>
          <w:szCs w:val="21"/>
        </w:rPr>
        <w:t>对照第</w:t>
      </w:r>
      <w:r>
        <w:rPr>
          <w:rFonts w:hint="eastAsia"/>
          <w:color w:val="auto"/>
          <w:szCs w:val="21"/>
        </w:rPr>
        <w:t>二</w:t>
      </w:r>
      <w:r>
        <w:rPr>
          <w:color w:val="auto"/>
          <w:szCs w:val="21"/>
        </w:rPr>
        <w:t>章</w:t>
      </w:r>
      <w:r>
        <w:rPr>
          <w:rFonts w:hint="eastAsia"/>
          <w:color w:val="auto"/>
          <w:szCs w:val="21"/>
        </w:rPr>
        <w:t>《项目</w:t>
      </w:r>
      <w:r>
        <w:rPr>
          <w:color w:val="auto"/>
          <w:szCs w:val="21"/>
        </w:rPr>
        <w:t>采购需求</w:t>
      </w:r>
      <w:r>
        <w:rPr>
          <w:rFonts w:hint="eastAsia"/>
          <w:color w:val="auto"/>
          <w:szCs w:val="21"/>
        </w:rPr>
        <w:t>》</w:t>
      </w:r>
      <w:r>
        <w:rPr>
          <w:color w:val="auto"/>
        </w:rPr>
        <w:t>中所列的</w:t>
      </w:r>
      <w:r>
        <w:rPr>
          <w:rFonts w:hint="eastAsia"/>
          <w:color w:val="auto"/>
        </w:rPr>
        <w:t>除 “总体要求”、“核心产品”、质量保证”、“</w:t>
      </w:r>
      <w:r>
        <w:rPr>
          <w:color w:val="auto"/>
          <w:szCs w:val="21"/>
        </w:rPr>
        <w:t>备品备件及易损件</w:t>
      </w:r>
      <w:r>
        <w:rPr>
          <w:rFonts w:hint="eastAsia"/>
          <w:color w:val="auto"/>
        </w:rPr>
        <w:t>”外的技术</w:t>
      </w:r>
      <w:r>
        <w:rPr>
          <w:color w:val="auto"/>
        </w:rPr>
        <w:t>要求</w:t>
      </w:r>
      <w:r>
        <w:rPr>
          <w:rFonts w:hint="eastAsia"/>
          <w:color w:val="auto"/>
        </w:rPr>
        <w:t>的响应偏表</w:t>
      </w:r>
    </w:p>
    <w:tbl>
      <w:tblPr>
        <w:tblStyle w:val="57"/>
        <w:tblW w:w="88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r>
              <w:rPr>
                <w:color w:val="auto"/>
                <w:szCs w:val="21"/>
              </w:rPr>
              <w:t>招标文件要求</w:t>
            </w:r>
          </w:p>
          <w:p>
            <w:pPr>
              <w:snapToGrid w:val="0"/>
              <w:spacing w:before="120" w:beforeLines="50"/>
              <w:jc w:val="center"/>
              <w:rPr>
                <w:color w:val="auto"/>
                <w:szCs w:val="21"/>
              </w:rPr>
            </w:pPr>
            <w:r>
              <w:rPr>
                <w:color w:val="auto"/>
                <w:szCs w:val="21"/>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r>
              <w:rPr>
                <w:color w:val="auto"/>
                <w:szCs w:val="21"/>
              </w:rPr>
              <w:t>投标文件响应内容</w:t>
            </w:r>
          </w:p>
          <w:p>
            <w:pPr>
              <w:snapToGrid w:val="0"/>
              <w:spacing w:before="120" w:beforeLines="50"/>
              <w:jc w:val="center"/>
              <w:rPr>
                <w:color w:val="auto"/>
                <w:szCs w:val="21"/>
              </w:rPr>
            </w:pPr>
            <w:r>
              <w:rPr>
                <w:color w:val="auto"/>
                <w:szCs w:val="21"/>
              </w:rPr>
              <w:t>（</w:t>
            </w:r>
            <w:r>
              <w:rPr>
                <w:rFonts w:hint="eastAsia"/>
                <w:color w:val="auto"/>
                <w:szCs w:val="21"/>
              </w:rPr>
              <w:t>可</w:t>
            </w:r>
            <w:r>
              <w:rPr>
                <w:color w:val="auto"/>
                <w:szCs w:val="21"/>
              </w:rPr>
              <w:t>注明证明材料所在页码）</w:t>
            </w: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r>
              <w:rPr>
                <w:color w:val="auto"/>
              </w:rPr>
              <w:t>偏离</w:t>
            </w:r>
            <w:r>
              <w:rPr>
                <w:color w:val="auto"/>
                <w:szCs w:val="21"/>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r>
              <w:rPr>
                <w:color w:val="auto"/>
                <w:szCs w:val="21"/>
              </w:rPr>
              <w:t>……</w:t>
            </w: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r>
              <w:rPr>
                <w:color w:val="auto"/>
                <w:szCs w:val="21"/>
              </w:rPr>
              <w:t>……</w:t>
            </w: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color w:val="auto"/>
                <w:szCs w:val="21"/>
              </w:rPr>
            </w:pPr>
            <w:r>
              <w:rPr>
                <w:color w:val="auto"/>
                <w:szCs w:val="21"/>
              </w:rPr>
              <w:t>……</w:t>
            </w:r>
          </w:p>
        </w:tc>
      </w:tr>
    </w:tbl>
    <w:p>
      <w:pPr>
        <w:rPr>
          <w:color w:val="auto"/>
          <w:szCs w:val="21"/>
        </w:rPr>
      </w:pPr>
    </w:p>
    <w:p>
      <w:pPr>
        <w:rPr>
          <w:color w:val="auto"/>
        </w:rPr>
      </w:pPr>
      <w:r>
        <w:rPr>
          <w:color w:val="auto"/>
          <w:szCs w:val="21"/>
        </w:rPr>
        <w:t>注：</w:t>
      </w:r>
      <w:r>
        <w:rPr>
          <w:color w:val="auto"/>
        </w:rPr>
        <w:t>（1）</w:t>
      </w:r>
      <w:r>
        <w:rPr>
          <w:color w:val="auto"/>
          <w:szCs w:val="21"/>
        </w:rPr>
        <w:t>供应商应根据投标设备的性能指标、对照第</w:t>
      </w:r>
      <w:r>
        <w:rPr>
          <w:rFonts w:hint="eastAsia"/>
          <w:color w:val="auto"/>
          <w:szCs w:val="21"/>
        </w:rPr>
        <w:t>二</w:t>
      </w:r>
      <w:r>
        <w:rPr>
          <w:color w:val="auto"/>
          <w:szCs w:val="21"/>
        </w:rPr>
        <w:t>章</w:t>
      </w:r>
      <w:r>
        <w:rPr>
          <w:rFonts w:hint="eastAsia"/>
          <w:color w:val="auto"/>
          <w:szCs w:val="21"/>
        </w:rPr>
        <w:t>《项目</w:t>
      </w:r>
      <w:r>
        <w:rPr>
          <w:color w:val="auto"/>
          <w:szCs w:val="21"/>
        </w:rPr>
        <w:t>采购需求</w:t>
      </w:r>
      <w:r>
        <w:rPr>
          <w:rFonts w:hint="eastAsia"/>
          <w:color w:val="auto"/>
          <w:szCs w:val="21"/>
        </w:rPr>
        <w:t>》</w:t>
      </w:r>
      <w:r>
        <w:rPr>
          <w:color w:val="auto"/>
        </w:rPr>
        <w:t>中所列</w:t>
      </w:r>
      <w:r>
        <w:rPr>
          <w:rFonts w:hint="eastAsia"/>
          <w:color w:val="auto"/>
        </w:rPr>
        <w:t>技术</w:t>
      </w:r>
      <w:r>
        <w:rPr>
          <w:color w:val="auto"/>
        </w:rPr>
        <w:t>要求</w:t>
      </w:r>
      <w:r>
        <w:rPr>
          <w:rFonts w:hint="eastAsia"/>
          <w:color w:val="auto"/>
        </w:rPr>
        <w:t>（除 “总体要求”、“核心产品”、质量保证”及“</w:t>
      </w:r>
      <w:r>
        <w:rPr>
          <w:color w:val="auto"/>
          <w:szCs w:val="21"/>
        </w:rPr>
        <w:t>备品备件及易损件</w:t>
      </w:r>
      <w:r>
        <w:rPr>
          <w:rFonts w:hint="eastAsia"/>
          <w:color w:val="auto"/>
        </w:rPr>
        <w:t>”外）</w:t>
      </w:r>
      <w:r>
        <w:rPr>
          <w:color w:val="auto"/>
          <w:szCs w:val="21"/>
        </w:rPr>
        <w:t>逐条在“偏离说明”栏注明</w:t>
      </w:r>
      <w:r>
        <w:rPr>
          <w:rFonts w:hint="eastAsia"/>
          <w:color w:val="auto"/>
        </w:rPr>
        <w:t>“正</w:t>
      </w:r>
      <w:r>
        <w:rPr>
          <w:color w:val="auto"/>
        </w:rPr>
        <w:t>偏离</w:t>
      </w:r>
      <w:r>
        <w:rPr>
          <w:rFonts w:hint="eastAsia"/>
          <w:color w:val="auto"/>
        </w:rPr>
        <w:t>”</w:t>
      </w:r>
      <w:r>
        <w:rPr>
          <w:color w:val="auto"/>
          <w:szCs w:val="21"/>
        </w:rPr>
        <w:t>、</w:t>
      </w:r>
      <w:r>
        <w:rPr>
          <w:rFonts w:hint="eastAsia"/>
          <w:color w:val="auto"/>
        </w:rPr>
        <w:t xml:space="preserve"> “负</w:t>
      </w:r>
      <w:r>
        <w:rPr>
          <w:color w:val="auto"/>
        </w:rPr>
        <w:t>偏离</w:t>
      </w:r>
      <w:r>
        <w:rPr>
          <w:rFonts w:hint="eastAsia"/>
          <w:color w:val="auto"/>
        </w:rPr>
        <w:t>”</w:t>
      </w:r>
      <w:r>
        <w:rPr>
          <w:color w:val="auto"/>
          <w:szCs w:val="21"/>
        </w:rPr>
        <w:t>或</w:t>
      </w:r>
      <w:r>
        <w:rPr>
          <w:rFonts w:hint="eastAsia"/>
          <w:color w:val="auto"/>
        </w:rPr>
        <w:t>“</w:t>
      </w:r>
      <w:r>
        <w:rPr>
          <w:color w:val="auto"/>
        </w:rPr>
        <w:t>无偏离</w:t>
      </w:r>
      <w:r>
        <w:rPr>
          <w:rFonts w:hint="eastAsia"/>
          <w:color w:val="auto"/>
        </w:rPr>
        <w:t>”</w:t>
      </w:r>
      <w:r>
        <w:rPr>
          <w:color w:val="auto"/>
          <w:szCs w:val="21"/>
        </w:rPr>
        <w:t>。</w:t>
      </w:r>
      <w:r>
        <w:rPr>
          <w:rFonts w:hint="eastAsia"/>
          <w:color w:val="auto"/>
        </w:rPr>
        <w:t>填写“正</w:t>
      </w:r>
      <w:r>
        <w:rPr>
          <w:color w:val="auto"/>
        </w:rPr>
        <w:t>偏离</w:t>
      </w:r>
      <w:r>
        <w:rPr>
          <w:rFonts w:hint="eastAsia"/>
          <w:color w:val="auto"/>
        </w:rPr>
        <w:t>”或“</w:t>
      </w:r>
      <w:r>
        <w:rPr>
          <w:color w:val="auto"/>
        </w:rPr>
        <w:t>无偏离</w:t>
      </w:r>
      <w:r>
        <w:rPr>
          <w:rFonts w:hint="eastAsia"/>
          <w:color w:val="auto"/>
        </w:rPr>
        <w:t>”时，如相应条款在投标文件其他部分描述明确不满足招标文件要求时，评标委员会将按不满足要求进行评审。</w:t>
      </w:r>
    </w:p>
    <w:p>
      <w:pPr>
        <w:rPr>
          <w:color w:val="auto"/>
        </w:rPr>
      </w:pPr>
      <w:r>
        <w:rPr>
          <w:rFonts w:hint="eastAsia"/>
          <w:color w:val="auto"/>
        </w:rPr>
        <w:t>（2）响应表说明详见投标人须知。</w:t>
      </w:r>
    </w:p>
    <w:p>
      <w:pPr>
        <w:rPr>
          <w:color w:val="auto"/>
        </w:rPr>
      </w:pPr>
      <w:r>
        <w:rPr>
          <w:color w:val="auto"/>
        </w:rPr>
        <w:t>（3）本表可扩展。</w:t>
      </w:r>
    </w:p>
    <w:p>
      <w:pPr>
        <w:rPr>
          <w:color w:val="auto"/>
          <w:szCs w:val="21"/>
        </w:rPr>
      </w:pPr>
    </w:p>
    <w:p>
      <w:pPr>
        <w:rPr>
          <w:color w:val="auto"/>
          <w:spacing w:val="20"/>
          <w:szCs w:val="21"/>
          <w:u w:val="single"/>
        </w:rPr>
      </w:pPr>
      <w:r>
        <w:rPr>
          <w:color w:val="auto"/>
          <w:szCs w:val="21"/>
        </w:rPr>
        <w:t>法定代表人或授权代表签字或盖章</w:t>
      </w:r>
      <w:r>
        <w:rPr>
          <w:color w:val="auto"/>
          <w:spacing w:val="20"/>
          <w:szCs w:val="21"/>
        </w:rPr>
        <w:t>：</w:t>
      </w:r>
      <w:r>
        <w:rPr>
          <w:color w:val="auto"/>
          <w:spacing w:val="20"/>
          <w:szCs w:val="21"/>
          <w:u w:val="single"/>
        </w:rPr>
        <w:t xml:space="preserve">        </w:t>
      </w:r>
    </w:p>
    <w:p>
      <w:pPr>
        <w:rPr>
          <w:color w:val="auto"/>
          <w:szCs w:val="21"/>
        </w:rPr>
      </w:pPr>
      <w:r>
        <w:rPr>
          <w:color w:val="auto"/>
          <w:spacing w:val="20"/>
          <w:szCs w:val="21"/>
        </w:rPr>
        <w:t>供应商公章：</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pPr>
        <w:rPr>
          <w:color w:val="auto"/>
          <w:szCs w:val="21"/>
        </w:rPr>
      </w:pPr>
    </w:p>
    <w:p>
      <w:pPr>
        <w:snapToGrid w:val="0"/>
        <w:spacing w:before="50" w:after="120" w:afterLines="50"/>
        <w:jc w:val="left"/>
        <w:rPr>
          <w:color w:val="auto"/>
          <w:szCs w:val="21"/>
        </w:rPr>
      </w:pPr>
      <w:r>
        <w:rPr>
          <w:color w:val="auto"/>
          <w:szCs w:val="21"/>
        </w:rPr>
        <w:t>2．</w:t>
      </w:r>
      <w:r>
        <w:rPr>
          <w:rFonts w:hint="eastAsia"/>
          <w:color w:val="auto"/>
          <w:szCs w:val="21"/>
        </w:rPr>
        <w:t>货物或产品</w:t>
      </w:r>
      <w:r>
        <w:rPr>
          <w:color w:val="auto"/>
          <w:szCs w:val="21"/>
        </w:rPr>
        <w:t>配置清单格式：</w:t>
      </w:r>
    </w:p>
    <w:tbl>
      <w:tblPr>
        <w:tblStyle w:val="57"/>
        <w:tblW w:w="894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r>
              <w:rPr>
                <w:color w:val="auto"/>
                <w:szCs w:val="21"/>
              </w:rPr>
              <w:t>序号</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r>
              <w:rPr>
                <w:rFonts w:hint="eastAsia"/>
                <w:color w:val="auto"/>
                <w:szCs w:val="21"/>
              </w:rPr>
              <w:t>货物或产品</w:t>
            </w:r>
          </w:p>
          <w:p>
            <w:pPr>
              <w:snapToGrid w:val="0"/>
              <w:spacing w:before="50" w:after="50" w:line="440" w:lineRule="exact"/>
              <w:jc w:val="center"/>
              <w:rPr>
                <w:color w:val="auto"/>
                <w:szCs w:val="21"/>
              </w:rPr>
            </w:pPr>
            <w:r>
              <w:rPr>
                <w:color w:val="auto"/>
                <w:szCs w:val="21"/>
              </w:rPr>
              <w:t>名称</w:t>
            </w: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r>
              <w:rPr>
                <w:color w:val="auto"/>
                <w:szCs w:val="21"/>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r>
              <w:rPr>
                <w:color w:val="auto"/>
                <w:szCs w:val="21"/>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r>
              <w:rPr>
                <w:color w:val="auto"/>
                <w:szCs w:val="21"/>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r>
              <w:rPr>
                <w:color w:val="auto"/>
                <w:szCs w:val="21"/>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r>
              <w:rPr>
                <w:color w:val="auto"/>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rPr>
                <w:color w:val="auto"/>
                <w:szCs w:val="21"/>
              </w:rPr>
            </w:pP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color w:val="auto"/>
                <w:szCs w:val="21"/>
              </w:rPr>
            </w:pPr>
          </w:p>
        </w:tc>
      </w:tr>
    </w:tbl>
    <w:p>
      <w:pPr>
        <w:snapToGrid w:val="0"/>
        <w:spacing w:before="50" w:after="50" w:line="440" w:lineRule="exact"/>
        <w:rPr>
          <w:color w:val="auto"/>
          <w:spacing w:val="20"/>
          <w:szCs w:val="21"/>
          <w:u w:val="single"/>
        </w:rPr>
      </w:pPr>
      <w:r>
        <w:rPr>
          <w:color w:val="auto"/>
          <w:szCs w:val="21"/>
        </w:rPr>
        <w:t>法定代表人或授权代表签字或盖章</w:t>
      </w:r>
      <w:r>
        <w:rPr>
          <w:color w:val="auto"/>
          <w:spacing w:val="20"/>
          <w:szCs w:val="21"/>
        </w:rPr>
        <w:t>：</w:t>
      </w:r>
      <w:r>
        <w:rPr>
          <w:color w:val="auto"/>
          <w:spacing w:val="20"/>
          <w:szCs w:val="21"/>
          <w:u w:val="single"/>
        </w:rPr>
        <w:t xml:space="preserve">         </w:t>
      </w:r>
    </w:p>
    <w:p>
      <w:pPr>
        <w:snapToGrid w:val="0"/>
        <w:spacing w:before="50" w:after="50" w:line="440" w:lineRule="exact"/>
        <w:rPr>
          <w:color w:val="auto"/>
          <w:szCs w:val="21"/>
        </w:rPr>
      </w:pPr>
      <w:r>
        <w:rPr>
          <w:color w:val="auto"/>
          <w:spacing w:val="20"/>
          <w:szCs w:val="21"/>
        </w:rPr>
        <w:t>供应商公章：</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pPr>
        <w:rPr>
          <w:color w:val="auto"/>
          <w:szCs w:val="21"/>
        </w:rPr>
      </w:pPr>
    </w:p>
    <w:p>
      <w:pPr>
        <w:rPr>
          <w:color w:val="auto"/>
          <w:szCs w:val="21"/>
        </w:rPr>
      </w:pPr>
      <w:bookmarkStart w:id="68" w:name="_Hlk19115689"/>
      <w:r>
        <w:rPr>
          <w:color w:val="auto"/>
          <w:szCs w:val="21"/>
        </w:rPr>
        <w:t>3．</w:t>
      </w:r>
      <w:r>
        <w:rPr>
          <w:rFonts w:hint="eastAsia"/>
          <w:color w:val="auto"/>
          <w:szCs w:val="21"/>
        </w:rPr>
        <w:t>投标货物或产品的质量保证说明</w:t>
      </w:r>
    </w:p>
    <w:p>
      <w:pPr>
        <w:rPr>
          <w:color w:val="auto"/>
          <w:szCs w:val="21"/>
        </w:rPr>
      </w:pPr>
    </w:p>
    <w:p>
      <w:pPr>
        <w:rPr>
          <w:color w:val="auto"/>
          <w:szCs w:val="21"/>
        </w:rPr>
      </w:pPr>
    </w:p>
    <w:p>
      <w:pPr>
        <w:jc w:val="left"/>
        <w:rPr>
          <w:color w:val="auto"/>
          <w:szCs w:val="21"/>
        </w:rPr>
      </w:pPr>
      <w:r>
        <w:rPr>
          <w:rFonts w:hint="eastAsia"/>
          <w:color w:val="auto"/>
          <w:szCs w:val="21"/>
        </w:rPr>
        <w:t>4</w:t>
      </w:r>
      <w:r>
        <w:rPr>
          <w:color w:val="auto"/>
          <w:szCs w:val="21"/>
        </w:rPr>
        <w:t>．质量保证期过后的优惠条件：供应商承诺给予采购人的各种优惠条件，包括</w:t>
      </w:r>
      <w:r>
        <w:rPr>
          <w:rFonts w:hint="eastAsia"/>
          <w:color w:val="auto"/>
          <w:szCs w:val="21"/>
        </w:rPr>
        <w:t>货物或产品的</w:t>
      </w:r>
      <w:r>
        <w:rPr>
          <w:color w:val="auto"/>
          <w:szCs w:val="21"/>
        </w:rPr>
        <w:t>售后服务、备品备件、专用耗材等方面的优惠条件。</w:t>
      </w:r>
    </w:p>
    <w:p>
      <w:pPr>
        <w:jc w:val="center"/>
        <w:rPr>
          <w:color w:val="auto"/>
          <w:szCs w:val="21"/>
        </w:rPr>
      </w:pPr>
      <w:r>
        <w:rPr>
          <w:color w:val="auto"/>
          <w:szCs w:val="21"/>
        </w:rPr>
        <w:br w:type="page"/>
      </w:r>
    </w:p>
    <w:p>
      <w:pPr>
        <w:jc w:val="center"/>
        <w:rPr>
          <w:color w:val="auto"/>
          <w:szCs w:val="21"/>
        </w:rPr>
      </w:pPr>
      <w:r>
        <w:rPr>
          <w:color w:val="auto"/>
          <w:szCs w:val="21"/>
        </w:rPr>
        <w:t>常用的、容易损坏的备品备件及易损件的优惠价格清单</w:t>
      </w:r>
    </w:p>
    <w:tbl>
      <w:tblPr>
        <w:tblStyle w:val="57"/>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auto"/>
                <w:szCs w:val="21"/>
              </w:rPr>
            </w:pPr>
            <w:r>
              <w:rPr>
                <w:color w:val="auto"/>
                <w:szCs w:val="21"/>
              </w:rPr>
              <w:t>序号</w:t>
            </w:r>
          </w:p>
        </w:tc>
        <w:tc>
          <w:tcPr>
            <w:tcW w:w="3124" w:type="dxa"/>
            <w:tcBorders>
              <w:top w:val="single" w:color="auto" w:sz="4" w:space="0"/>
              <w:left w:val="single" w:color="auto" w:sz="4" w:space="0"/>
              <w:bottom w:val="single" w:color="auto" w:sz="2" w:space="0"/>
              <w:right w:val="single" w:color="auto" w:sz="4" w:space="0"/>
            </w:tcBorders>
            <w:vAlign w:val="center"/>
          </w:tcPr>
          <w:p>
            <w:pPr>
              <w:snapToGrid w:val="0"/>
              <w:spacing w:before="50" w:after="50" w:line="440" w:lineRule="exact"/>
              <w:jc w:val="center"/>
              <w:rPr>
                <w:color w:val="auto"/>
                <w:szCs w:val="21"/>
              </w:rPr>
            </w:pPr>
            <w:r>
              <w:rPr>
                <w:color w:val="auto"/>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pPr>
              <w:jc w:val="center"/>
              <w:rPr>
                <w:color w:val="auto"/>
                <w:szCs w:val="21"/>
              </w:rPr>
            </w:pPr>
            <w:r>
              <w:rPr>
                <w:color w:val="auto"/>
                <w:szCs w:val="21"/>
              </w:rPr>
              <w:t>适用于</w:t>
            </w:r>
            <w:r>
              <w:rPr>
                <w:rFonts w:hint="eastAsia"/>
                <w:color w:val="auto"/>
                <w:szCs w:val="21"/>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pPr>
              <w:jc w:val="center"/>
              <w:rPr>
                <w:color w:val="auto"/>
                <w:szCs w:val="21"/>
              </w:rPr>
            </w:pPr>
            <w:r>
              <w:rPr>
                <w:color w:val="auto"/>
                <w:szCs w:val="21"/>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jc w:val="center"/>
              <w:rPr>
                <w:color w:val="auto"/>
                <w:szCs w:val="21"/>
              </w:rPr>
            </w:pPr>
            <w:r>
              <w:rPr>
                <w:color w:val="auto"/>
                <w:szCs w:val="21"/>
              </w:rPr>
              <w:t>优惠单价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jc w:val="center"/>
              <w:rPr>
                <w:color w:val="auto"/>
                <w:szCs w:val="21"/>
              </w:rPr>
            </w:pPr>
            <w:r>
              <w:rPr>
                <w:color w:val="auto"/>
                <w:szCs w:val="21"/>
              </w:rPr>
              <w:t>1</w:t>
            </w:r>
          </w:p>
        </w:tc>
        <w:tc>
          <w:tcPr>
            <w:tcW w:w="3124" w:type="dxa"/>
            <w:tcBorders>
              <w:top w:val="single" w:color="auto" w:sz="2" w:space="0"/>
              <w:left w:val="single" w:color="auto" w:sz="2" w:space="0"/>
              <w:bottom w:val="single" w:color="auto" w:sz="6" w:space="0"/>
              <w:right w:val="single" w:color="auto" w:sz="4" w:space="0"/>
            </w:tcBorders>
            <w:vAlign w:val="center"/>
          </w:tcPr>
          <w:p>
            <w:pPr>
              <w:rPr>
                <w:color w:val="auto"/>
                <w:szCs w:val="21"/>
              </w:rPr>
            </w:pPr>
          </w:p>
        </w:tc>
        <w:tc>
          <w:tcPr>
            <w:tcW w:w="2276" w:type="dxa"/>
            <w:tcBorders>
              <w:top w:val="single" w:color="auto" w:sz="2" w:space="0"/>
              <w:left w:val="single" w:color="auto" w:sz="4" w:space="0"/>
              <w:bottom w:val="single" w:color="auto" w:sz="6" w:space="0"/>
              <w:right w:val="single" w:color="auto" w:sz="6" w:space="0"/>
            </w:tcBorders>
            <w:vAlign w:val="center"/>
          </w:tcPr>
          <w:p>
            <w:pPr>
              <w:rPr>
                <w:color w:val="auto"/>
                <w:szCs w:val="21"/>
              </w:rPr>
            </w:pPr>
          </w:p>
        </w:tc>
        <w:tc>
          <w:tcPr>
            <w:tcW w:w="1639" w:type="dxa"/>
            <w:tcBorders>
              <w:top w:val="single" w:color="auto" w:sz="2" w:space="0"/>
              <w:left w:val="single" w:color="auto" w:sz="6" w:space="0"/>
              <w:bottom w:val="single" w:color="auto" w:sz="6" w:space="0"/>
              <w:right w:val="single" w:color="auto" w:sz="6" w:space="0"/>
            </w:tcBorders>
          </w:tcPr>
          <w:p>
            <w:pPr>
              <w:rPr>
                <w:color w:val="auto"/>
                <w:szCs w:val="21"/>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jc w:val="center"/>
              <w:rPr>
                <w:color w:val="auto"/>
                <w:szCs w:val="21"/>
              </w:rPr>
            </w:pPr>
            <w:r>
              <w:rPr>
                <w:color w:val="auto"/>
                <w:szCs w:val="21"/>
              </w:rPr>
              <w:t>2</w:t>
            </w:r>
          </w:p>
        </w:tc>
        <w:tc>
          <w:tcPr>
            <w:tcW w:w="3124" w:type="dxa"/>
            <w:tcBorders>
              <w:top w:val="single" w:color="auto" w:sz="6" w:space="0"/>
              <w:left w:val="single" w:color="auto" w:sz="2" w:space="0"/>
              <w:bottom w:val="single" w:color="auto" w:sz="6" w:space="0"/>
              <w:right w:val="single" w:color="auto" w:sz="4" w:space="0"/>
            </w:tcBorders>
            <w:vAlign w:val="center"/>
          </w:tcPr>
          <w:p>
            <w:pPr>
              <w:rPr>
                <w:color w:val="auto"/>
                <w:szCs w:val="21"/>
              </w:rPr>
            </w:pPr>
          </w:p>
        </w:tc>
        <w:tc>
          <w:tcPr>
            <w:tcW w:w="2276" w:type="dxa"/>
            <w:tcBorders>
              <w:top w:val="single" w:color="auto" w:sz="6" w:space="0"/>
              <w:left w:val="single" w:color="auto" w:sz="4" w:space="0"/>
              <w:bottom w:val="single" w:color="auto" w:sz="6" w:space="0"/>
              <w:right w:val="single" w:color="auto" w:sz="6" w:space="0"/>
            </w:tcBorders>
            <w:vAlign w:val="center"/>
          </w:tcPr>
          <w:p>
            <w:pPr>
              <w:rPr>
                <w:color w:val="auto"/>
                <w:szCs w:val="21"/>
              </w:rPr>
            </w:pPr>
          </w:p>
        </w:tc>
        <w:tc>
          <w:tcPr>
            <w:tcW w:w="1639" w:type="dxa"/>
            <w:tcBorders>
              <w:top w:val="single" w:color="auto" w:sz="6" w:space="0"/>
              <w:left w:val="single" w:color="auto" w:sz="6" w:space="0"/>
              <w:bottom w:val="single" w:color="auto" w:sz="6" w:space="0"/>
              <w:right w:val="single" w:color="auto" w:sz="6" w:space="0"/>
            </w:tcBorders>
          </w:tcPr>
          <w:p>
            <w:pPr>
              <w:rPr>
                <w:color w:val="auto"/>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jc w:val="center"/>
              <w:rPr>
                <w:color w:val="auto"/>
                <w:szCs w:val="21"/>
              </w:rPr>
            </w:pPr>
            <w:r>
              <w:rPr>
                <w:color w:val="auto"/>
                <w:szCs w:val="21"/>
              </w:rPr>
              <w:t>3</w:t>
            </w:r>
          </w:p>
        </w:tc>
        <w:tc>
          <w:tcPr>
            <w:tcW w:w="3124" w:type="dxa"/>
            <w:tcBorders>
              <w:top w:val="single" w:color="auto" w:sz="6" w:space="0"/>
              <w:left w:val="single" w:color="auto" w:sz="2" w:space="0"/>
              <w:bottom w:val="single" w:color="auto" w:sz="6" w:space="0"/>
              <w:right w:val="single" w:color="auto" w:sz="4" w:space="0"/>
            </w:tcBorders>
            <w:vAlign w:val="center"/>
          </w:tcPr>
          <w:p>
            <w:pPr>
              <w:rPr>
                <w:color w:val="auto"/>
                <w:szCs w:val="21"/>
              </w:rPr>
            </w:pPr>
          </w:p>
        </w:tc>
        <w:tc>
          <w:tcPr>
            <w:tcW w:w="2276" w:type="dxa"/>
            <w:tcBorders>
              <w:top w:val="single" w:color="auto" w:sz="6" w:space="0"/>
              <w:left w:val="single" w:color="auto" w:sz="4" w:space="0"/>
              <w:bottom w:val="single" w:color="auto" w:sz="6" w:space="0"/>
              <w:right w:val="single" w:color="auto" w:sz="6" w:space="0"/>
            </w:tcBorders>
            <w:vAlign w:val="center"/>
          </w:tcPr>
          <w:p>
            <w:pPr>
              <w:rPr>
                <w:color w:val="auto"/>
                <w:szCs w:val="21"/>
              </w:rPr>
            </w:pPr>
          </w:p>
        </w:tc>
        <w:tc>
          <w:tcPr>
            <w:tcW w:w="1639" w:type="dxa"/>
            <w:tcBorders>
              <w:top w:val="single" w:color="auto" w:sz="6" w:space="0"/>
              <w:left w:val="single" w:color="auto" w:sz="6" w:space="0"/>
              <w:bottom w:val="single" w:color="auto" w:sz="6" w:space="0"/>
              <w:right w:val="single" w:color="auto" w:sz="6" w:space="0"/>
            </w:tcBorders>
          </w:tcPr>
          <w:p>
            <w:pPr>
              <w:rPr>
                <w:color w:val="auto"/>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rPr>
                <w:color w:val="auto"/>
                <w:szCs w:val="21"/>
              </w:rPr>
            </w:pPr>
          </w:p>
        </w:tc>
      </w:tr>
    </w:tbl>
    <w:p>
      <w:pPr>
        <w:rPr>
          <w:color w:val="auto"/>
          <w:spacing w:val="20"/>
          <w:szCs w:val="21"/>
          <w:u w:val="single"/>
        </w:rPr>
      </w:pPr>
      <w:r>
        <w:rPr>
          <w:color w:val="auto"/>
          <w:szCs w:val="21"/>
        </w:rPr>
        <w:t>法定代表人或授权代表签字或盖章</w:t>
      </w:r>
      <w:r>
        <w:rPr>
          <w:color w:val="auto"/>
          <w:spacing w:val="20"/>
          <w:szCs w:val="21"/>
        </w:rPr>
        <w:t>：</w:t>
      </w:r>
      <w:r>
        <w:rPr>
          <w:color w:val="auto"/>
          <w:spacing w:val="20"/>
          <w:szCs w:val="21"/>
          <w:u w:val="single"/>
        </w:rPr>
        <w:t xml:space="preserve">        </w:t>
      </w:r>
    </w:p>
    <w:p>
      <w:pPr>
        <w:rPr>
          <w:color w:val="auto"/>
          <w:szCs w:val="21"/>
        </w:rPr>
      </w:pPr>
      <w:r>
        <w:rPr>
          <w:color w:val="auto"/>
          <w:spacing w:val="20"/>
          <w:szCs w:val="21"/>
        </w:rPr>
        <w:t>供应商公章：</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bookmarkEnd w:id="68"/>
    <w:p>
      <w:pPr>
        <w:rPr>
          <w:color w:val="auto"/>
          <w:szCs w:val="21"/>
        </w:rPr>
      </w:pPr>
    </w:p>
    <w:p>
      <w:pPr>
        <w:rPr>
          <w:color w:val="auto"/>
          <w:szCs w:val="21"/>
        </w:rPr>
      </w:pPr>
    </w:p>
    <w:p>
      <w:pPr>
        <w:rPr>
          <w:color w:val="auto"/>
          <w:szCs w:val="21"/>
        </w:rPr>
      </w:pPr>
    </w:p>
    <w:p>
      <w:pPr>
        <w:snapToGrid w:val="0"/>
        <w:spacing w:before="50" w:after="120" w:afterLines="50"/>
        <w:jc w:val="left"/>
        <w:rPr>
          <w:color w:val="auto"/>
          <w:szCs w:val="21"/>
        </w:rPr>
      </w:pPr>
      <w:r>
        <w:rPr>
          <w:rFonts w:hint="eastAsia"/>
          <w:color w:val="auto"/>
          <w:szCs w:val="21"/>
        </w:rPr>
        <w:t>5</w:t>
      </w:r>
      <w:r>
        <w:rPr>
          <w:color w:val="auto"/>
          <w:szCs w:val="21"/>
        </w:rPr>
        <w:t>．产品出厂标准、质量检测报告。</w:t>
      </w:r>
    </w:p>
    <w:p>
      <w:pPr>
        <w:rPr>
          <w:color w:val="auto"/>
          <w:szCs w:val="21"/>
        </w:rPr>
      </w:pPr>
    </w:p>
    <w:p>
      <w:pPr>
        <w:rPr>
          <w:color w:val="auto"/>
          <w:szCs w:val="21"/>
        </w:rPr>
      </w:pPr>
    </w:p>
    <w:p>
      <w:pPr>
        <w:rPr>
          <w:color w:val="auto"/>
          <w:szCs w:val="21"/>
        </w:rPr>
      </w:pPr>
    </w:p>
    <w:p>
      <w:pPr>
        <w:snapToGrid w:val="0"/>
        <w:spacing w:before="50" w:after="120" w:afterLines="50"/>
        <w:jc w:val="left"/>
        <w:rPr>
          <w:color w:val="auto"/>
          <w:szCs w:val="21"/>
        </w:rPr>
      </w:pPr>
      <w:r>
        <w:rPr>
          <w:rFonts w:hint="eastAsia"/>
          <w:color w:val="auto"/>
          <w:szCs w:val="21"/>
        </w:rPr>
        <w:t>6</w:t>
      </w:r>
      <w:r>
        <w:rPr>
          <w:color w:val="auto"/>
          <w:szCs w:val="21"/>
        </w:rPr>
        <w:t>．原厂出厂配置表及原厂中文使用说明书。</w:t>
      </w:r>
    </w:p>
    <w:p>
      <w:pPr>
        <w:rPr>
          <w:color w:val="auto"/>
          <w:szCs w:val="21"/>
        </w:rPr>
      </w:pPr>
    </w:p>
    <w:p>
      <w:pPr>
        <w:rPr>
          <w:color w:val="auto"/>
          <w:szCs w:val="21"/>
        </w:rPr>
      </w:pPr>
    </w:p>
    <w:p>
      <w:pPr>
        <w:rPr>
          <w:color w:val="auto"/>
          <w:szCs w:val="21"/>
        </w:rPr>
      </w:pPr>
    </w:p>
    <w:p>
      <w:pPr>
        <w:rPr>
          <w:color w:val="auto"/>
          <w:szCs w:val="21"/>
        </w:rPr>
      </w:pPr>
      <w:r>
        <w:rPr>
          <w:rFonts w:hint="eastAsia"/>
          <w:color w:val="auto"/>
          <w:szCs w:val="21"/>
        </w:rPr>
        <w:t>7</w:t>
      </w:r>
      <w:r>
        <w:rPr>
          <w:color w:val="auto"/>
          <w:szCs w:val="21"/>
        </w:rPr>
        <w:t>．供应商建议的安装、调试、验收方法或方案。</w:t>
      </w:r>
    </w:p>
    <w:p>
      <w:pPr>
        <w:rPr>
          <w:color w:val="auto"/>
          <w:szCs w:val="21"/>
        </w:rPr>
      </w:pPr>
    </w:p>
    <w:p>
      <w:pPr>
        <w:rPr>
          <w:color w:val="auto"/>
          <w:szCs w:val="21"/>
        </w:rPr>
      </w:pPr>
    </w:p>
    <w:p>
      <w:pPr>
        <w:rPr>
          <w:color w:val="auto"/>
          <w:szCs w:val="21"/>
        </w:rPr>
      </w:pPr>
    </w:p>
    <w:p>
      <w:pPr>
        <w:rPr>
          <w:color w:val="auto"/>
          <w:szCs w:val="21"/>
        </w:rPr>
      </w:pPr>
      <w:r>
        <w:rPr>
          <w:rFonts w:hint="eastAsia"/>
          <w:color w:val="auto"/>
          <w:szCs w:val="21"/>
        </w:rPr>
        <w:t>8</w:t>
      </w:r>
      <w:r>
        <w:rPr>
          <w:color w:val="auto"/>
          <w:szCs w:val="21"/>
        </w:rPr>
        <w:t>．项目实施人员一览表。</w:t>
      </w:r>
    </w:p>
    <w:p>
      <w:pPr>
        <w:rPr>
          <w:color w:val="auto"/>
          <w:szCs w:val="21"/>
        </w:rPr>
      </w:pPr>
    </w:p>
    <w:p>
      <w:pPr>
        <w:snapToGrid w:val="0"/>
        <w:spacing w:before="120" w:beforeLines="50" w:after="50" w:line="400" w:lineRule="exact"/>
        <w:jc w:val="center"/>
        <w:rPr>
          <w:b/>
          <w:color w:val="auto"/>
          <w:szCs w:val="21"/>
        </w:rPr>
      </w:pPr>
      <w:r>
        <w:rPr>
          <w:b/>
          <w:color w:val="auto"/>
          <w:szCs w:val="21"/>
        </w:rPr>
        <w:t>项目实施人员（主要从业人员及其技术资格）一览表</w:t>
      </w:r>
    </w:p>
    <w:p>
      <w:pPr>
        <w:snapToGrid w:val="0"/>
        <w:spacing w:before="120" w:beforeLines="50" w:after="50" w:line="400" w:lineRule="exact"/>
        <w:rPr>
          <w:color w:val="auto"/>
          <w:szCs w:val="21"/>
        </w:rPr>
      </w:pPr>
    </w:p>
    <w:tbl>
      <w:tblPr>
        <w:tblStyle w:val="57"/>
        <w:tblW w:w="914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color w:val="auto"/>
                <w:szCs w:val="21"/>
              </w:rPr>
            </w:pPr>
            <w:r>
              <w:rPr>
                <w:color w:val="auto"/>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color w:val="auto"/>
                <w:szCs w:val="21"/>
              </w:rPr>
            </w:pPr>
            <w:r>
              <w:rPr>
                <w:color w:val="auto"/>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color w:val="auto"/>
                <w:szCs w:val="21"/>
              </w:rPr>
            </w:pPr>
            <w:r>
              <w:rPr>
                <w:color w:val="auto"/>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color w:val="auto"/>
                <w:szCs w:val="21"/>
              </w:rPr>
            </w:pPr>
            <w:r>
              <w:rPr>
                <w:color w:val="auto"/>
                <w:szCs w:val="21"/>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bCs/>
                <w:color w:val="auto"/>
                <w:szCs w:val="21"/>
              </w:rPr>
            </w:pPr>
            <w:r>
              <w:rPr>
                <w:bCs/>
                <w:color w:val="auto"/>
                <w:szCs w:val="21"/>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bCs/>
                <w:color w:val="auto"/>
                <w:szCs w:val="21"/>
              </w:rPr>
            </w:pPr>
            <w:r>
              <w:rPr>
                <w:bCs/>
                <w:color w:val="auto"/>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tcPr>
          <w:p>
            <w:pPr>
              <w:pStyle w:val="30"/>
              <w:snapToGrid w:val="0"/>
              <w:spacing w:before="120" w:beforeLines="50" w:after="50"/>
              <w:ind w:left="5670" w:hanging="420"/>
              <w:rPr>
                <w:rFonts w:ascii="Times New Roman" w:hAnsi="Times New Roman"/>
                <w:color w:val="auto"/>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color w:val="auto"/>
                <w:szCs w:val="21"/>
              </w:rPr>
            </w:pPr>
          </w:p>
        </w:tc>
      </w:tr>
    </w:tbl>
    <w:p>
      <w:pPr>
        <w:snapToGrid w:val="0"/>
        <w:spacing w:before="50" w:after="120" w:afterLines="50" w:line="440" w:lineRule="exact"/>
        <w:jc w:val="left"/>
        <w:rPr>
          <w:color w:val="auto"/>
          <w:szCs w:val="21"/>
        </w:rPr>
      </w:pPr>
      <w:r>
        <w:rPr>
          <w:color w:val="auto"/>
          <w:szCs w:val="21"/>
        </w:rPr>
        <w:t>注：在填写时，如本表格不适合投标单位的实际情况，可根据本表格式自行填写。</w:t>
      </w:r>
    </w:p>
    <w:p>
      <w:pPr>
        <w:snapToGrid w:val="0"/>
        <w:spacing w:before="50" w:after="50" w:line="440" w:lineRule="exact"/>
        <w:rPr>
          <w:color w:val="auto"/>
          <w:spacing w:val="20"/>
          <w:szCs w:val="21"/>
          <w:u w:val="single"/>
        </w:rPr>
      </w:pPr>
      <w:r>
        <w:rPr>
          <w:color w:val="auto"/>
          <w:szCs w:val="21"/>
        </w:rPr>
        <w:t>法定代表人或授权代表签字或盖章</w:t>
      </w:r>
      <w:r>
        <w:rPr>
          <w:color w:val="auto"/>
          <w:spacing w:val="20"/>
          <w:szCs w:val="21"/>
        </w:rPr>
        <w:t>：</w:t>
      </w:r>
      <w:r>
        <w:rPr>
          <w:color w:val="auto"/>
          <w:spacing w:val="20"/>
          <w:szCs w:val="21"/>
          <w:u w:val="single"/>
        </w:rPr>
        <w:t xml:space="preserve">            </w:t>
      </w:r>
    </w:p>
    <w:p>
      <w:pPr>
        <w:rPr>
          <w:color w:val="auto"/>
          <w:spacing w:val="20"/>
          <w:szCs w:val="21"/>
          <w:u w:val="single"/>
        </w:rPr>
      </w:pPr>
      <w:r>
        <w:rPr>
          <w:color w:val="auto"/>
          <w:spacing w:val="20"/>
          <w:szCs w:val="21"/>
        </w:rPr>
        <w:t>供应商公章：</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pPr>
        <w:rPr>
          <w:color w:val="auto"/>
          <w:szCs w:val="21"/>
        </w:rPr>
      </w:pPr>
    </w:p>
    <w:p>
      <w:pPr>
        <w:rPr>
          <w:color w:val="auto"/>
          <w:szCs w:val="21"/>
        </w:rPr>
      </w:pPr>
    </w:p>
    <w:p>
      <w:pPr>
        <w:rPr>
          <w:color w:val="auto"/>
          <w:szCs w:val="21"/>
        </w:rPr>
      </w:pPr>
      <w:r>
        <w:rPr>
          <w:color w:val="auto"/>
          <w:szCs w:val="21"/>
        </w:rPr>
        <w:t>9．技术服务、技术培训、售后服务的内容和措施。</w:t>
      </w:r>
    </w:p>
    <w:p>
      <w:pPr>
        <w:rPr>
          <w:color w:val="auto"/>
          <w:szCs w:val="21"/>
        </w:rPr>
      </w:pPr>
    </w:p>
    <w:p>
      <w:pPr>
        <w:rPr>
          <w:color w:val="auto"/>
          <w:szCs w:val="21"/>
        </w:rPr>
      </w:pPr>
    </w:p>
    <w:p>
      <w:pPr>
        <w:rPr>
          <w:color w:val="auto"/>
          <w:szCs w:val="21"/>
        </w:rPr>
      </w:pPr>
      <w:r>
        <w:rPr>
          <w:color w:val="auto"/>
          <w:szCs w:val="21"/>
        </w:rPr>
        <w:t>10．供应商对本项目的合理化建议和改进措施。</w:t>
      </w:r>
    </w:p>
    <w:p>
      <w:pPr>
        <w:rPr>
          <w:color w:val="auto"/>
          <w:szCs w:val="21"/>
        </w:rPr>
      </w:pPr>
    </w:p>
    <w:p>
      <w:pPr>
        <w:rPr>
          <w:color w:val="auto"/>
          <w:szCs w:val="21"/>
        </w:rPr>
      </w:pPr>
    </w:p>
    <w:p>
      <w:pPr>
        <w:rPr>
          <w:color w:val="auto"/>
          <w:szCs w:val="21"/>
        </w:rPr>
      </w:pPr>
      <w:r>
        <w:rPr>
          <w:color w:val="auto"/>
          <w:szCs w:val="21"/>
        </w:rPr>
        <w:t>11．供应商需要说明的其他文件和说明。</w:t>
      </w:r>
    </w:p>
    <w:p>
      <w:pPr>
        <w:jc w:val="center"/>
        <w:rPr>
          <w:b/>
          <w:bCs/>
          <w:szCs w:val="21"/>
        </w:rPr>
      </w:pPr>
      <w:r>
        <w:rPr>
          <w:b/>
          <w:color w:val="4472C4"/>
          <w:szCs w:val="21"/>
        </w:rPr>
        <w:br w:type="page"/>
      </w:r>
      <w:r>
        <w:rPr>
          <w:b/>
          <w:bCs/>
          <w:szCs w:val="21"/>
        </w:rPr>
        <w:t xml:space="preserve"> </w:t>
      </w:r>
    </w:p>
    <w:p>
      <w:pPr>
        <w:snapToGrid w:val="0"/>
        <w:spacing w:before="120" w:beforeLines="50" w:after="50" w:line="440" w:lineRule="exact"/>
        <w:jc w:val="center"/>
        <w:outlineLvl w:val="1"/>
        <w:rPr>
          <w:bCs/>
          <w:sz w:val="24"/>
        </w:rPr>
      </w:pPr>
      <w:r>
        <w:rPr>
          <w:bCs/>
          <w:sz w:val="24"/>
        </w:rPr>
        <w:t>第三部分 报价文件</w:t>
      </w:r>
    </w:p>
    <w:p>
      <w:pPr>
        <w:jc w:val="center"/>
        <w:rPr>
          <w:b/>
          <w:bCs/>
          <w:szCs w:val="21"/>
        </w:rPr>
      </w:pPr>
    </w:p>
    <w:p>
      <w:bookmarkStart w:id="69" w:name="_Hlk19115777"/>
      <w:r>
        <w:t>1．投标函格式：</w:t>
      </w:r>
    </w:p>
    <w:p>
      <w:pPr>
        <w:jc w:val="center"/>
        <w:rPr>
          <w:b/>
          <w:szCs w:val="21"/>
        </w:rPr>
      </w:pPr>
    </w:p>
    <w:p>
      <w:pPr>
        <w:jc w:val="center"/>
        <w:rPr>
          <w:b/>
          <w:szCs w:val="21"/>
        </w:rPr>
      </w:pPr>
      <w:r>
        <w:rPr>
          <w:b/>
          <w:szCs w:val="21"/>
        </w:rPr>
        <w:t>投 标 函</w:t>
      </w:r>
    </w:p>
    <w:p>
      <w:pPr>
        <w:rPr>
          <w:b/>
          <w:szCs w:val="21"/>
        </w:rPr>
      </w:pPr>
    </w:p>
    <w:p>
      <w:pPr>
        <w:spacing w:line="360" w:lineRule="auto"/>
        <w:rPr>
          <w:szCs w:val="21"/>
        </w:rPr>
      </w:pPr>
      <w:r>
        <w:rPr>
          <w:szCs w:val="21"/>
        </w:rPr>
        <w:t>致：</w:t>
      </w:r>
      <w:bookmarkStart w:id="70"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70"/>
      <w:r>
        <w:rPr>
          <w:szCs w:val="21"/>
        </w:rPr>
        <w:t>：</w:t>
      </w:r>
    </w:p>
    <w:p>
      <w:pPr>
        <w:spacing w:line="360" w:lineRule="auto"/>
        <w:ind w:firstLine="420" w:firstLineChars="200"/>
        <w:rPr>
          <w:szCs w:val="21"/>
        </w:rPr>
      </w:pPr>
      <w:r>
        <w:rPr>
          <w:szCs w:val="21"/>
        </w:rPr>
        <w:t>我方已仔细研究了</w:t>
      </w:r>
      <w:bookmarkStart w:id="71" w:name="_Hlk19051388"/>
      <w:r>
        <w:rPr>
          <w:rFonts w:hint="eastAsia"/>
          <w:i/>
          <w:iCs/>
          <w:szCs w:val="21"/>
          <w:u w:val="single"/>
        </w:rPr>
        <w:t>（项目名称）</w:t>
      </w:r>
      <w:bookmarkEnd w:id="71"/>
      <w:r>
        <w:rPr>
          <w:szCs w:val="21"/>
        </w:rPr>
        <w:t>的招标文件的全部内容。签字代表</w:t>
      </w:r>
      <w:bookmarkStart w:id="72" w:name="_Hlk19051393"/>
      <w:r>
        <w:rPr>
          <w:rFonts w:hint="eastAsia"/>
          <w:i/>
          <w:iCs/>
          <w:szCs w:val="21"/>
          <w:u w:val="single"/>
        </w:rPr>
        <w:t>（授权代表姓名）</w:t>
      </w:r>
      <w:bookmarkEnd w:id="72"/>
      <w:r>
        <w:rPr>
          <w:szCs w:val="21"/>
        </w:rPr>
        <w:t>经正式授权并代表供应商_</w:t>
      </w:r>
      <w:bookmarkStart w:id="73" w:name="_Hlk19051402"/>
      <w:r>
        <w:rPr>
          <w:i/>
          <w:iCs/>
          <w:szCs w:val="21"/>
          <w:u w:val="single"/>
        </w:rPr>
        <w:t>（供应商名称）</w:t>
      </w:r>
      <w:bookmarkEnd w:id="73"/>
      <w:r>
        <w:rPr>
          <w:szCs w:val="21"/>
        </w:rPr>
        <w:t>提交投标文件正本一份、副本</w:t>
      </w:r>
      <w:r>
        <w:rPr>
          <w:szCs w:val="21"/>
          <w:u w:val="single"/>
        </w:rPr>
        <w:t xml:space="preserve">      </w:t>
      </w:r>
      <w:r>
        <w:rPr>
          <w:szCs w:val="21"/>
        </w:rPr>
        <w:t>份。</w:t>
      </w:r>
    </w:p>
    <w:p>
      <w:pPr>
        <w:spacing w:line="360" w:lineRule="auto"/>
        <w:ind w:firstLine="420" w:firstLineChars="200"/>
        <w:rPr>
          <w:szCs w:val="21"/>
        </w:rPr>
      </w:pPr>
      <w:r>
        <w:rPr>
          <w:szCs w:val="21"/>
        </w:rPr>
        <w:t>据此函，签字代表宣布同意如下：</w:t>
      </w:r>
    </w:p>
    <w:p>
      <w:pPr>
        <w:spacing w:line="360" w:lineRule="auto"/>
        <w:rPr>
          <w:szCs w:val="21"/>
        </w:rPr>
      </w:pPr>
      <w:r>
        <w:rPr>
          <w:szCs w:val="21"/>
        </w:rPr>
        <w:t>（1）</w:t>
      </w:r>
      <w:r>
        <w:rPr>
          <w:rFonts w:hint="eastAsia"/>
          <w:szCs w:val="21"/>
        </w:rPr>
        <w:t>我方</w:t>
      </w:r>
      <w:r>
        <w:rPr>
          <w:szCs w:val="21"/>
        </w:rPr>
        <w:t>已详细审查全部“招标文件”，包括修改文件（如有的话）以及全部参考资料和有关附件，已经了解我方对于招标文件、采购过程、采购结果有依法进行询问、质疑、投诉的权利及相关渠道和要求。</w:t>
      </w:r>
    </w:p>
    <w:p>
      <w:pPr>
        <w:spacing w:line="360" w:lineRule="auto"/>
        <w:rPr>
          <w:szCs w:val="21"/>
        </w:rPr>
      </w:pPr>
      <w:r>
        <w:rPr>
          <w:szCs w:val="21"/>
        </w:rPr>
        <w:t>（2）</w:t>
      </w:r>
      <w:r>
        <w:rPr>
          <w:rFonts w:hint="eastAsia"/>
          <w:szCs w:val="21"/>
        </w:rPr>
        <w:t>我方</w:t>
      </w:r>
      <w:r>
        <w:rPr>
          <w:szCs w:val="21"/>
        </w:rPr>
        <w:t>在投标之前已经与贵方进行了充分的沟通，完全理解并接受招标文件的各项规定和要求，对招标文件的合理性、合法性不再有异议。</w:t>
      </w:r>
    </w:p>
    <w:p>
      <w:pPr>
        <w:spacing w:line="360" w:lineRule="auto"/>
        <w:rPr>
          <w:szCs w:val="21"/>
        </w:rPr>
      </w:pPr>
      <w:r>
        <w:rPr>
          <w:szCs w:val="21"/>
        </w:rPr>
        <w:t>（3）本投标有效期自投标截止之日起</w:t>
      </w:r>
      <w:r>
        <w:rPr>
          <w:szCs w:val="21"/>
          <w:u w:val="single"/>
        </w:rPr>
        <w:t xml:space="preserve">     </w:t>
      </w:r>
      <w:r>
        <w:rPr>
          <w:szCs w:val="21"/>
        </w:rPr>
        <w:t>天。</w:t>
      </w:r>
    </w:p>
    <w:p>
      <w:pPr>
        <w:spacing w:line="360" w:lineRule="auto"/>
        <w:rPr>
          <w:szCs w:val="21"/>
        </w:rPr>
      </w:pPr>
      <w:r>
        <w:rPr>
          <w:szCs w:val="21"/>
        </w:rPr>
        <w:t>（4）如中标，本投标文件至本项目合同履行完毕止均保持有效，</w:t>
      </w:r>
      <w:r>
        <w:rPr>
          <w:rFonts w:hint="eastAsia"/>
          <w:szCs w:val="21"/>
        </w:rPr>
        <w:t>我方</w:t>
      </w:r>
      <w:r>
        <w:rPr>
          <w:szCs w:val="21"/>
        </w:rPr>
        <w:t>将按“招标文件”及政府采购法律、法规的规定履行合同责任和义务</w:t>
      </w:r>
      <w:r>
        <w:rPr>
          <w:rFonts w:hint="eastAsia"/>
          <w:szCs w:val="21"/>
        </w:rPr>
        <w:t>，并承诺</w:t>
      </w:r>
      <w:r>
        <w:rPr>
          <w:szCs w:val="21"/>
        </w:rPr>
        <w:t>不分包及转包他人。</w:t>
      </w:r>
    </w:p>
    <w:p>
      <w:pPr>
        <w:spacing w:line="360" w:lineRule="auto"/>
        <w:rPr>
          <w:szCs w:val="21"/>
        </w:rPr>
      </w:pPr>
      <w:r>
        <w:rPr>
          <w:szCs w:val="21"/>
        </w:rPr>
        <w:t>（5）</w:t>
      </w:r>
      <w:r>
        <w:rPr>
          <w:rFonts w:hint="eastAsia"/>
          <w:szCs w:val="21"/>
        </w:rPr>
        <w:t>我方</w:t>
      </w:r>
      <w:r>
        <w:rPr>
          <w:szCs w:val="21"/>
        </w:rPr>
        <w:t>同意按照贵方要求提供与投标有关的一切数据或资料。</w:t>
      </w:r>
    </w:p>
    <w:p>
      <w:pPr>
        <w:spacing w:line="360" w:lineRule="auto"/>
        <w:rPr>
          <w:szCs w:val="21"/>
        </w:rPr>
      </w:pPr>
      <w:r>
        <w:rPr>
          <w:szCs w:val="21"/>
        </w:rPr>
        <w:t>（6）与本项目有关的一切正式往来信函请寄：</w:t>
      </w:r>
    </w:p>
    <w:p>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pPr>
        <w:spacing w:line="360" w:lineRule="auto"/>
        <w:rPr>
          <w:szCs w:val="21"/>
        </w:rPr>
      </w:pPr>
      <w:r>
        <w:rPr>
          <w:szCs w:val="21"/>
        </w:rPr>
        <w:t>传真：</w:t>
      </w:r>
      <w:r>
        <w:rPr>
          <w:szCs w:val="21"/>
          <w:u w:val="single"/>
        </w:rPr>
        <w:t xml:space="preserve">           </w:t>
      </w:r>
      <w:r>
        <w:rPr>
          <w:szCs w:val="21"/>
        </w:rPr>
        <w:t xml:space="preserve">  </w:t>
      </w:r>
    </w:p>
    <w:p>
      <w:pPr>
        <w:spacing w:line="360" w:lineRule="auto"/>
        <w:rPr>
          <w:szCs w:val="21"/>
        </w:rPr>
      </w:pPr>
      <w:r>
        <w:rPr>
          <w:szCs w:val="21"/>
        </w:rPr>
        <w:t>供应商代表姓名</w:t>
      </w:r>
      <w:r>
        <w:rPr>
          <w:szCs w:val="21"/>
          <w:u w:val="single"/>
        </w:rPr>
        <w:t xml:space="preserve">         </w:t>
      </w:r>
      <w:r>
        <w:rPr>
          <w:szCs w:val="21"/>
        </w:rPr>
        <w:t xml:space="preserve">  职务：</w:t>
      </w:r>
      <w:r>
        <w:rPr>
          <w:szCs w:val="21"/>
          <w:u w:val="single"/>
        </w:rPr>
        <w:t xml:space="preserve">         </w:t>
      </w:r>
      <w:r>
        <w:rPr>
          <w:szCs w:val="21"/>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bookmarkEnd w:id="69"/>
    <w:p>
      <w:pPr>
        <w:spacing w:line="360" w:lineRule="auto"/>
        <w:rPr>
          <w:szCs w:val="21"/>
        </w:rPr>
      </w:pPr>
    </w:p>
    <w:p>
      <w:pPr>
        <w:spacing w:line="360" w:lineRule="auto"/>
        <w:rPr>
          <w:szCs w:val="21"/>
        </w:rPr>
      </w:pPr>
    </w:p>
    <w:p>
      <w:pPr>
        <w:spacing w:line="360" w:lineRule="auto"/>
        <w:rPr>
          <w:szCs w:val="21"/>
          <w:u w:val="single"/>
        </w:rPr>
      </w:pPr>
      <w:r>
        <w:rPr>
          <w:szCs w:val="21"/>
        </w:rPr>
        <w:t>供应商名称(公章)：</w:t>
      </w:r>
      <w:r>
        <w:rPr>
          <w:szCs w:val="21"/>
          <w:u w:val="single"/>
        </w:rPr>
        <w:t xml:space="preserve">                  </w:t>
      </w:r>
    </w:p>
    <w:p>
      <w:pPr>
        <w:spacing w:line="360" w:lineRule="auto"/>
        <w:rPr>
          <w:szCs w:val="21"/>
        </w:rPr>
      </w:pPr>
    </w:p>
    <w:p>
      <w:pPr>
        <w:spacing w:line="360" w:lineRule="auto"/>
        <w:rPr>
          <w:szCs w:val="21"/>
        </w:rPr>
      </w:pPr>
      <w:r>
        <w:rPr>
          <w:szCs w:val="21"/>
        </w:rPr>
        <w:t>法定代表人或授权代表签字或盖章：</w:t>
      </w:r>
      <w:r>
        <w:rPr>
          <w:szCs w:val="21"/>
          <w:u w:val="single"/>
        </w:rPr>
        <w:t xml:space="preserve">           </w:t>
      </w:r>
      <w:r>
        <w:rPr>
          <w:szCs w:val="21"/>
        </w:rPr>
        <w:t xml:space="preserve">          </w:t>
      </w:r>
    </w:p>
    <w:p>
      <w:pPr>
        <w:spacing w:line="360" w:lineRule="auto"/>
        <w:rPr>
          <w:szCs w:val="21"/>
        </w:rPr>
      </w:pPr>
    </w:p>
    <w:p>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
        <w:rPr>
          <w:b/>
          <w:szCs w:val="21"/>
        </w:rPr>
        <w:br w:type="page"/>
      </w:r>
      <w:r>
        <w:t>2．投标报价明细表格式：</w:t>
      </w:r>
    </w:p>
    <w:p>
      <w:pPr>
        <w:jc w:val="center"/>
        <w:rPr>
          <w:b/>
          <w:szCs w:val="21"/>
        </w:rPr>
      </w:pPr>
      <w:r>
        <w:rPr>
          <w:b/>
          <w:szCs w:val="21"/>
        </w:rPr>
        <w:t>投标报价明细表</w:t>
      </w:r>
    </w:p>
    <w:p>
      <w:pPr>
        <w:ind w:firstLine="2415" w:firstLineChars="1150"/>
        <w:rPr>
          <w:szCs w:val="21"/>
        </w:rPr>
      </w:pPr>
      <w:r>
        <w:rPr>
          <w:szCs w:val="21"/>
        </w:rPr>
        <w:t xml:space="preserve">                                    金额单位：人民币（元）</w:t>
      </w:r>
    </w:p>
    <w:tbl>
      <w:tblPr>
        <w:tblStyle w:val="57"/>
        <w:tblW w:w="90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r>
              <w:rPr>
                <w:color w:val="auto"/>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产品或服务名称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制造商或服务商</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r>
              <w:rPr>
                <w:color w:val="auto"/>
                <w:spacing w:val="20"/>
                <w:szCs w:val="21"/>
              </w:rPr>
              <w:t>……</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auto"/>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exact"/>
          <w:jc w:val="center"/>
        </w:trPr>
        <w:tc>
          <w:tcPr>
            <w:tcW w:w="9000" w:type="dxa"/>
            <w:gridSpan w:val="7"/>
            <w:tcBorders>
              <w:top w:val="single" w:color="auto" w:sz="4" w:space="0"/>
              <w:left w:val="single" w:color="auto" w:sz="4" w:space="0"/>
              <w:bottom w:val="single" w:color="auto" w:sz="4" w:space="0"/>
              <w:right w:val="single" w:color="auto" w:sz="4" w:space="0"/>
            </w:tcBorders>
            <w:vAlign w:val="center"/>
          </w:tcPr>
          <w:p>
            <w:pPr>
              <w:jc w:val="left"/>
              <w:rPr>
                <w:color w:val="auto"/>
                <w:spacing w:val="20"/>
                <w:szCs w:val="21"/>
              </w:rPr>
            </w:pPr>
            <w:r>
              <w:rPr>
                <w:color w:val="auto"/>
                <w:spacing w:val="20"/>
                <w:szCs w:val="21"/>
              </w:rPr>
              <w:t>投标总价：大写                       小写</w:t>
            </w:r>
          </w:p>
        </w:tc>
      </w:tr>
    </w:tbl>
    <w:p>
      <w:pPr>
        <w:rPr>
          <w:spacing w:val="20"/>
          <w:szCs w:val="21"/>
          <w:u w:val="single"/>
        </w:rPr>
      </w:pPr>
    </w:p>
    <w:p>
      <w:pPr>
        <w:spacing w:line="360" w:lineRule="auto"/>
        <w:rPr>
          <w:spacing w:val="20"/>
          <w:szCs w:val="21"/>
        </w:rPr>
      </w:pPr>
    </w:p>
    <w:p>
      <w:pPr>
        <w:jc w:val="left"/>
        <w:rPr>
          <w:szCs w:val="21"/>
        </w:rPr>
      </w:pPr>
      <w:r>
        <w:rPr>
          <w:szCs w:val="21"/>
        </w:rPr>
        <w:t>注：本表可扩展，并逐页签字及盖章</w:t>
      </w:r>
    </w:p>
    <w:p>
      <w:pPr>
        <w:spacing w:line="360" w:lineRule="auto"/>
        <w:rPr>
          <w:spacing w:val="20"/>
          <w:szCs w:val="21"/>
        </w:rPr>
      </w:pPr>
    </w:p>
    <w:p>
      <w:pPr>
        <w:spacing w:line="360" w:lineRule="auto"/>
        <w:rPr>
          <w:spacing w:val="20"/>
          <w:szCs w:val="21"/>
          <w:u w:val="single"/>
        </w:rPr>
      </w:pPr>
      <w:r>
        <w:rPr>
          <w:szCs w:val="21"/>
        </w:rPr>
        <w:t>法定代表人或授权代表（签字或盖章）</w:t>
      </w:r>
      <w:r>
        <w:rPr>
          <w:spacing w:val="20"/>
          <w:szCs w:val="21"/>
        </w:rPr>
        <w:t>：</w:t>
      </w:r>
      <w:r>
        <w:rPr>
          <w:spacing w:val="20"/>
          <w:szCs w:val="21"/>
          <w:u w:val="single"/>
        </w:rPr>
        <w:t xml:space="preserve">                     </w:t>
      </w:r>
    </w:p>
    <w:p>
      <w:pPr>
        <w:spacing w:line="360" w:lineRule="auto"/>
        <w:rPr>
          <w:szCs w:val="21"/>
        </w:rPr>
      </w:pPr>
      <w:r>
        <w:rPr>
          <w:szCs w:val="21"/>
        </w:rPr>
        <w:t>供应商名称（公章）：</w:t>
      </w:r>
      <w:r>
        <w:rPr>
          <w:szCs w:val="21"/>
          <w:u w:val="single"/>
        </w:rPr>
        <w:t xml:space="preserve">                          </w:t>
      </w:r>
    </w:p>
    <w:p>
      <w:pPr>
        <w:spacing w:line="360" w:lineRule="auto"/>
        <w:rPr>
          <w:spacing w:val="20"/>
          <w:szCs w:val="21"/>
          <w:u w:val="single"/>
        </w:rPr>
      </w:pPr>
      <w:r>
        <w:rPr>
          <w:szCs w:val="21"/>
        </w:rPr>
        <w:t>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napToGrid w:val="0"/>
        <w:spacing w:before="50" w:after="120" w:afterLines="50"/>
        <w:jc w:val="left"/>
        <w:rPr>
          <w:szCs w:val="21"/>
        </w:rPr>
      </w:pPr>
      <w:r>
        <w:rPr>
          <w:szCs w:val="21"/>
        </w:rPr>
        <w:br w:type="page"/>
      </w:r>
      <w:bookmarkStart w:id="74" w:name="_Hlk19115862"/>
      <w:r>
        <w:rPr>
          <w:szCs w:val="21"/>
        </w:rPr>
        <w:t>3．过低报价合理性的说明。（如有）</w:t>
      </w:r>
    </w:p>
    <w:p>
      <w:pPr>
        <w:spacing w:line="360" w:lineRule="auto"/>
        <w:ind w:firstLine="420" w:firstLineChars="200"/>
        <w:rPr>
          <w:szCs w:val="21"/>
        </w:rPr>
      </w:pPr>
      <w:r>
        <w:rPr>
          <w:szCs w:val="21"/>
        </w:rPr>
        <w:t>评标委员会认为供应商的报价明显低于其他通过符合性审查供应商报价的，供应商将被要求以书面方式提供</w:t>
      </w:r>
      <w:r>
        <w:rPr>
          <w:rFonts w:hint="eastAsia"/>
          <w:szCs w:val="21"/>
        </w:rPr>
        <w:t>说明</w:t>
      </w:r>
      <w:r>
        <w:rPr>
          <w:szCs w:val="21"/>
        </w:rPr>
        <w:t>。为避免在评标现场因未能及时提供说明而导致被评标委员会作为无效投标，供应商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具体要求详见第四章评标方法及评标标准“过低报价合理性的审查”</w:t>
      </w:r>
      <w:r>
        <w:rPr>
          <w:rFonts w:hint="eastAsia"/>
          <w:szCs w:val="21"/>
        </w:rPr>
        <w:t>）</w:t>
      </w:r>
    </w:p>
    <w:bookmarkEnd w:id="74"/>
    <w:p>
      <w:pPr>
        <w:snapToGrid w:val="0"/>
        <w:spacing w:before="50" w:after="120" w:afterLines="50"/>
        <w:jc w:val="left"/>
        <w:rPr>
          <w:szCs w:val="21"/>
        </w:rPr>
      </w:pPr>
    </w:p>
    <w:p>
      <w:pPr>
        <w:snapToGrid w:val="0"/>
        <w:spacing w:before="50" w:after="120" w:afterLines="50"/>
        <w:jc w:val="left"/>
        <w:rPr>
          <w:szCs w:val="21"/>
        </w:rPr>
      </w:pPr>
      <w:bookmarkStart w:id="75" w:name="_Hlk19115874"/>
      <w:r>
        <w:rPr>
          <w:szCs w:val="21"/>
        </w:rPr>
        <w:t>4．符合政府采购政策价格扣除证明材料。</w:t>
      </w:r>
    </w:p>
    <w:p>
      <w:pPr>
        <w:rPr>
          <w:szCs w:val="21"/>
        </w:rPr>
      </w:pPr>
      <w:r>
        <w:rPr>
          <w:szCs w:val="21"/>
        </w:rPr>
        <w:t>4.1</w:t>
      </w:r>
      <w:r>
        <w:rPr>
          <w:bCs/>
          <w:szCs w:val="21"/>
        </w:rPr>
        <w:t>符合小型、微型企业</w:t>
      </w:r>
      <w:r>
        <w:rPr>
          <w:szCs w:val="21"/>
        </w:rPr>
        <w:t>政府采购政策证明材料。（非小型、微型企业无需提供）</w:t>
      </w:r>
      <w:r>
        <w:rPr>
          <w:rFonts w:hint="eastAsia"/>
          <w:szCs w:val="21"/>
        </w:rPr>
        <w:t>。</w:t>
      </w:r>
    </w:p>
    <w:p>
      <w:pPr>
        <w:spacing w:line="360" w:lineRule="auto"/>
        <w:jc w:val="center"/>
        <w:rPr>
          <w:b/>
          <w:szCs w:val="21"/>
        </w:rPr>
      </w:pPr>
      <w:r>
        <w:rPr>
          <w:b/>
          <w:szCs w:val="21"/>
        </w:rPr>
        <w:t>小微企业声明函</w:t>
      </w:r>
    </w:p>
    <w:p>
      <w:pPr>
        <w:spacing w:line="360" w:lineRule="auto"/>
        <w:ind w:firstLine="420"/>
        <w:rPr>
          <w:szCs w:val="21"/>
        </w:rPr>
      </w:pPr>
      <w:r>
        <w:rPr>
          <w:szCs w:val="21"/>
        </w:rPr>
        <w:t>本公司郑重声明，根据《政府采购促进中小企业发展暂行办法》（财库〔2011〕181号）的规定，本公司为</w:t>
      </w:r>
      <w:r>
        <w:rPr>
          <w:szCs w:val="21"/>
          <w:u w:val="single"/>
        </w:rPr>
        <w:t xml:space="preserve">               </w:t>
      </w:r>
      <w:r>
        <w:rPr>
          <w:szCs w:val="21"/>
        </w:rPr>
        <w:t>（请填写：小型、微型）企业。即，本公司同时满足以下条件：</w:t>
      </w:r>
    </w:p>
    <w:p>
      <w:pPr>
        <w:spacing w:line="360" w:lineRule="auto"/>
        <w:ind w:firstLine="420"/>
        <w:rPr>
          <w:szCs w:val="21"/>
        </w:rPr>
      </w:pPr>
      <w:r>
        <w:rPr>
          <w:szCs w:val="21"/>
        </w:rPr>
        <w:t>1.根据《工业和信息化部、国家统计局、国家发展和改革委员会、财政部关于印发中小企业划型标准规定的通知》（工信部联企业〔2011〕300号）规定的划分标准，本公司为</w:t>
      </w:r>
      <w:r>
        <w:rPr>
          <w:szCs w:val="21"/>
          <w:u w:val="single"/>
        </w:rPr>
        <w:t xml:space="preserve">           </w:t>
      </w:r>
      <w:r>
        <w:rPr>
          <w:szCs w:val="21"/>
        </w:rPr>
        <w:t>（请填写：小型、微型）企业。</w:t>
      </w:r>
    </w:p>
    <w:p>
      <w:pPr>
        <w:spacing w:line="360" w:lineRule="auto"/>
        <w:ind w:firstLine="420"/>
        <w:rPr>
          <w:szCs w:val="21"/>
        </w:rPr>
      </w:pPr>
      <w:r>
        <w:rPr>
          <w:szCs w:val="21"/>
        </w:rPr>
        <w:t>2.本公司参加</w:t>
      </w:r>
      <w:r>
        <w:rPr>
          <w:szCs w:val="21"/>
          <w:u w:val="single"/>
        </w:rPr>
        <w:t xml:space="preserve">           </w:t>
      </w:r>
      <w:r>
        <w:rPr>
          <w:szCs w:val="21"/>
        </w:rPr>
        <w:t>单位的</w:t>
      </w:r>
      <w:r>
        <w:rPr>
          <w:szCs w:val="21"/>
          <w:u w:val="single"/>
        </w:rPr>
        <w:t xml:space="preserve">           </w:t>
      </w:r>
      <w:r>
        <w:rPr>
          <w:szCs w:val="21"/>
        </w:rPr>
        <w:t>项目采购活动提供本企业制造的货物，由本企业承担工程、提供服务，或者提供其他</w:t>
      </w:r>
      <w:r>
        <w:rPr>
          <w:szCs w:val="21"/>
          <w:u w:val="single"/>
        </w:rPr>
        <w:t xml:space="preserve">          </w:t>
      </w:r>
      <w:r>
        <w:rPr>
          <w:szCs w:val="21"/>
        </w:rPr>
        <w:t>（请填写：小型、微型）企业制造的货物。本条所称货物不包括使用大型企业注册商标的货物。</w:t>
      </w:r>
    </w:p>
    <w:p>
      <w:pPr>
        <w:spacing w:line="360" w:lineRule="auto"/>
        <w:ind w:firstLine="420"/>
        <w:rPr>
          <w:szCs w:val="21"/>
        </w:rPr>
      </w:pPr>
      <w:r>
        <w:rPr>
          <w:szCs w:val="21"/>
        </w:rPr>
        <w:t>本公司对上述声明的真实性负责。如有虚假，将依法承担相应责任。</w:t>
      </w:r>
    </w:p>
    <w:p>
      <w:pPr>
        <w:spacing w:line="360" w:lineRule="auto"/>
        <w:ind w:firstLine="3570" w:firstLineChars="1700"/>
        <w:rPr>
          <w:szCs w:val="21"/>
        </w:rPr>
      </w:pPr>
      <w:r>
        <w:rPr>
          <w:szCs w:val="21"/>
        </w:rPr>
        <w:t>企业名称（盖章）：</w:t>
      </w:r>
    </w:p>
    <w:p>
      <w:pPr>
        <w:ind w:right="420" w:firstLine="5355" w:firstLineChars="2550"/>
        <w:rPr>
          <w:szCs w:val="21"/>
        </w:rPr>
      </w:pPr>
      <w:r>
        <w:rPr>
          <w:szCs w:val="21"/>
        </w:rPr>
        <w:t>日 期：    年   月   日</w:t>
      </w:r>
    </w:p>
    <w:bookmarkEnd w:id="75"/>
    <w:p>
      <w:pPr>
        <w:spacing w:line="360" w:lineRule="auto"/>
        <w:ind w:firstLine="420"/>
        <w:rPr>
          <w:szCs w:val="21"/>
        </w:rPr>
      </w:pPr>
    </w:p>
    <w:p>
      <w:pPr>
        <w:snapToGrid w:val="0"/>
        <w:spacing w:before="50" w:after="120" w:afterLines="50"/>
        <w:jc w:val="left"/>
        <w:rPr>
          <w:szCs w:val="21"/>
        </w:rPr>
      </w:pPr>
    </w:p>
    <w:p>
      <w:pPr>
        <w:snapToGrid w:val="0"/>
        <w:spacing w:before="50" w:after="120" w:afterLines="50"/>
        <w:jc w:val="left"/>
        <w:rPr>
          <w:szCs w:val="21"/>
        </w:rPr>
      </w:pPr>
      <w:bookmarkStart w:id="76" w:name="_Hlk19115884"/>
      <w:r>
        <w:rPr>
          <w:szCs w:val="21"/>
        </w:rPr>
        <w:t>4.2监狱企业须提供最新一期《XX省监狱企业产品目录》或其他监狱企业证明材料。（非监狱企业无需提供）</w:t>
      </w:r>
    </w:p>
    <w:p>
      <w:pPr>
        <w:snapToGrid w:val="0"/>
        <w:spacing w:before="50" w:after="120" w:afterLines="50"/>
        <w:jc w:val="left"/>
        <w:rPr>
          <w:szCs w:val="21"/>
        </w:rPr>
      </w:pPr>
    </w:p>
    <w:p>
      <w:pPr>
        <w:snapToGrid w:val="0"/>
        <w:spacing w:before="50" w:after="120" w:afterLines="50"/>
        <w:jc w:val="left"/>
      </w:pPr>
      <w:r>
        <w:rPr>
          <w:szCs w:val="21"/>
        </w:rPr>
        <w:t>4.3</w:t>
      </w:r>
      <w:bookmarkStart w:id="77" w:name="_Hlk19051624"/>
      <w:r>
        <w:t>残疾人福利性单位须提供《残疾人福利性单位声明函》，格式如下。</w:t>
      </w:r>
      <w:r>
        <w:rPr>
          <w:szCs w:val="21"/>
        </w:rPr>
        <w:t>（非残疾人福利性单位无需提供）</w:t>
      </w:r>
    </w:p>
    <w:bookmarkEnd w:id="77"/>
    <w:p>
      <w:pPr>
        <w:spacing w:line="360" w:lineRule="auto"/>
        <w:jc w:val="center"/>
        <w:rPr>
          <w:b/>
          <w:szCs w:val="21"/>
        </w:rPr>
      </w:pPr>
      <w:bookmarkStart w:id="78" w:name="OLE_LINK14"/>
      <w:bookmarkStart w:id="79" w:name="OLE_LINK13"/>
      <w:r>
        <w:rPr>
          <w:b/>
          <w:szCs w:val="21"/>
        </w:rPr>
        <w:t>残疾人福利性单位声明函</w:t>
      </w:r>
      <w:bookmarkEnd w:id="78"/>
      <w:bookmarkEnd w:id="79"/>
    </w:p>
    <w:p>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rPr>
          <w:szCs w:val="21"/>
        </w:rPr>
      </w:pPr>
      <w:r>
        <w:rPr>
          <w:szCs w:val="21"/>
        </w:rPr>
        <w:t>本单位对上述声明的真实性负责。如有虚假，将依法承担相应责任。</w:t>
      </w:r>
    </w:p>
    <w:p>
      <w:pPr>
        <w:spacing w:line="360" w:lineRule="auto"/>
        <w:ind w:firstLine="420"/>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 xml:space="preserve">单位名称（盖章）：          </w:t>
      </w:r>
    </w:p>
    <w:p>
      <w:pPr>
        <w:spacing w:line="360" w:lineRule="auto"/>
        <w:ind w:firstLine="420"/>
        <w:rPr>
          <w:szCs w:val="21"/>
        </w:rPr>
      </w:pPr>
      <w:r>
        <w:rPr>
          <w:spacing w:val="6"/>
          <w:szCs w:val="21"/>
        </w:rPr>
        <w:t xml:space="preserve"> </w:t>
      </w:r>
      <w:r>
        <w:rPr>
          <w:rFonts w:hint="eastAsia"/>
          <w:spacing w:val="6"/>
          <w:szCs w:val="21"/>
        </w:rPr>
        <w:t xml:space="preserve">                                                      </w:t>
      </w:r>
      <w:r>
        <w:rPr>
          <w:spacing w:val="6"/>
          <w:szCs w:val="21"/>
        </w:rPr>
        <w:t>日  期：</w:t>
      </w:r>
    </w:p>
    <w:bookmarkEnd w:id="76"/>
    <w:p>
      <w:pPr>
        <w:snapToGrid w:val="0"/>
        <w:spacing w:before="120" w:beforeLines="50" w:after="50" w:line="440" w:lineRule="exact"/>
        <w:jc w:val="left"/>
        <w:outlineLvl w:val="1"/>
      </w:pPr>
      <w:r>
        <w:rPr>
          <w:bCs/>
          <w:sz w:val="24"/>
        </w:rPr>
        <w:br w:type="page"/>
      </w:r>
      <w:r>
        <w:rPr>
          <w:bCs/>
          <w:sz w:val="24"/>
        </w:rPr>
        <w:t>3．缴纳方式二递交投标保证金信封封面参考格式（可以手写，密封）： </w:t>
      </w:r>
      <w:r>
        <w:rPr>
          <w:bCs/>
          <w:sz w:val="24"/>
        </w:rPr>
        <w:br w:type="textWrapping"/>
      </w:r>
      <w:r>
        <w:br w:type="textWrapping"/>
      </w:r>
    </w:p>
    <w:p>
      <w:pPr>
        <w:snapToGrid w:val="0"/>
        <w:spacing w:before="120" w:beforeLines="50" w:after="50" w:line="440" w:lineRule="exact"/>
        <w:jc w:val="center"/>
        <w:rPr>
          <w:b/>
          <w:bCs/>
          <w:sz w:val="44"/>
          <w:szCs w:val="44"/>
        </w:rPr>
      </w:pPr>
      <w:r>
        <w:rPr>
          <w:b/>
          <w:bCs/>
          <w:sz w:val="44"/>
          <w:szCs w:val="44"/>
        </w:rPr>
        <w:t>投 标 文 件</w:t>
      </w:r>
      <w:r>
        <w:rPr>
          <w:rFonts w:hint="eastAsia"/>
          <w:b/>
          <w:bCs/>
          <w:sz w:val="44"/>
          <w:szCs w:val="44"/>
        </w:rPr>
        <w:t xml:space="preserve"> </w:t>
      </w:r>
    </w:p>
    <w:p>
      <w:pPr>
        <w:snapToGrid w:val="0"/>
        <w:spacing w:before="120" w:beforeLines="50" w:after="50" w:line="440" w:lineRule="exact"/>
        <w:rPr>
          <w:bCs/>
          <w:sz w:val="24"/>
        </w:rPr>
      </w:pPr>
    </w:p>
    <w:p>
      <w:pPr>
        <w:snapToGrid w:val="0"/>
        <w:spacing w:before="120" w:beforeLines="50" w:after="50" w:line="440" w:lineRule="exact"/>
        <w:ind w:firstLine="720" w:firstLineChars="300"/>
        <w:rPr>
          <w:bCs/>
          <w:sz w:val="24"/>
        </w:rPr>
      </w:pPr>
      <w:r>
        <w:rPr>
          <w:bCs/>
          <w:sz w:val="24"/>
        </w:rPr>
        <w:t xml:space="preserve">项目名称： </w:t>
      </w:r>
    </w:p>
    <w:p>
      <w:pPr>
        <w:snapToGrid w:val="0"/>
        <w:spacing w:before="120" w:beforeLines="50" w:after="50" w:line="440" w:lineRule="exact"/>
        <w:ind w:firstLine="720" w:firstLineChars="300"/>
        <w:rPr>
          <w:bCs/>
          <w:sz w:val="24"/>
        </w:rPr>
      </w:pPr>
      <w:r>
        <w:rPr>
          <w:bCs/>
          <w:sz w:val="24"/>
        </w:rPr>
        <w:t xml:space="preserve">项目编号： </w:t>
      </w:r>
    </w:p>
    <w:p>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pPr>
        <w:pStyle w:val="7"/>
        <w:snapToGrid w:val="0"/>
        <w:spacing w:before="50" w:after="50" w:line="440" w:lineRule="exact"/>
        <w:ind w:firstLine="720" w:firstLineChars="300"/>
        <w:rPr>
          <w:bCs/>
          <w:sz w:val="24"/>
          <w:szCs w:val="24"/>
        </w:rPr>
      </w:pPr>
      <w:r>
        <w:rPr>
          <w:bCs/>
          <w:sz w:val="24"/>
          <w:szCs w:val="24"/>
        </w:rPr>
        <w:t>投标文件名称：</w:t>
      </w:r>
      <w:r>
        <w:rPr>
          <w:rFonts w:hint="eastAsia"/>
          <w:bCs/>
          <w:sz w:val="24"/>
          <w:szCs w:val="24"/>
        </w:rPr>
        <w:t>投标保证金</w:t>
      </w:r>
    </w:p>
    <w:p>
      <w:pPr>
        <w:pStyle w:val="7"/>
        <w:snapToGrid w:val="0"/>
        <w:spacing w:before="50" w:after="50" w:line="440" w:lineRule="exact"/>
        <w:ind w:firstLine="720" w:firstLineChars="300"/>
        <w:rPr>
          <w:bCs/>
          <w:sz w:val="24"/>
          <w:szCs w:val="24"/>
        </w:rPr>
      </w:pPr>
      <w:r>
        <w:rPr>
          <w:bCs/>
          <w:sz w:val="24"/>
          <w:szCs w:val="24"/>
        </w:rPr>
        <w:t>供应商名称：</w:t>
      </w:r>
    </w:p>
    <w:p>
      <w:pPr>
        <w:pStyle w:val="7"/>
        <w:snapToGrid w:val="0"/>
        <w:spacing w:before="50" w:after="50" w:line="440" w:lineRule="exact"/>
        <w:ind w:firstLine="720" w:firstLineChars="300"/>
        <w:rPr>
          <w:bCs/>
          <w:sz w:val="24"/>
          <w:szCs w:val="24"/>
        </w:rPr>
      </w:pPr>
      <w:r>
        <w:rPr>
          <w:bCs/>
          <w:sz w:val="24"/>
          <w:szCs w:val="24"/>
        </w:rPr>
        <w:t>供应商地址：</w:t>
      </w:r>
    </w:p>
    <w:p>
      <w:pPr>
        <w:pStyle w:val="7"/>
        <w:snapToGrid w:val="0"/>
        <w:spacing w:before="50" w:after="50" w:line="440" w:lineRule="exact"/>
        <w:ind w:firstLine="720" w:firstLineChars="300"/>
        <w:rPr>
          <w:bCs/>
          <w:sz w:val="24"/>
          <w:szCs w:val="24"/>
        </w:rPr>
      </w:pPr>
    </w:p>
    <w:p>
      <w:pPr>
        <w:pStyle w:val="7"/>
        <w:snapToGrid w:val="0"/>
        <w:spacing w:before="50" w:after="50" w:line="440" w:lineRule="exact"/>
        <w:ind w:firstLine="720" w:firstLineChars="300"/>
        <w:rPr>
          <w:bCs/>
          <w:sz w:val="24"/>
          <w:szCs w:val="24"/>
        </w:rPr>
      </w:pPr>
      <w:r>
        <w:rPr>
          <w:bCs/>
          <w:sz w:val="24"/>
          <w:szCs w:val="24"/>
        </w:rPr>
        <w:t>在  年  月  日  时  分之前不得启封</w:t>
      </w:r>
    </w:p>
    <w:p>
      <w:pPr>
        <w:snapToGrid w:val="0"/>
        <w:spacing w:before="120" w:beforeLines="50" w:after="50" w:line="440" w:lineRule="exact"/>
        <w:ind w:firstLine="4080" w:firstLineChars="1700"/>
        <w:rPr>
          <w:bCs/>
          <w:sz w:val="24"/>
        </w:rPr>
      </w:pPr>
    </w:p>
    <w:p>
      <w:pPr>
        <w:snapToGrid w:val="0"/>
        <w:spacing w:before="120" w:beforeLines="50" w:after="50" w:line="440" w:lineRule="exact"/>
        <w:ind w:firstLine="645"/>
        <w:jc w:val="center"/>
        <w:rPr>
          <w:bCs/>
          <w:sz w:val="24"/>
        </w:rPr>
      </w:pPr>
      <w:r>
        <w:rPr>
          <w:bCs/>
          <w:sz w:val="24"/>
        </w:rPr>
        <w:t xml:space="preserve">                        年  月  日</w:t>
      </w:r>
    </w:p>
    <w:p>
      <w:pPr>
        <w:rPr>
          <w:szCs w:val="21"/>
        </w:rPr>
      </w:pPr>
    </w:p>
    <w:p>
      <w:pPr>
        <w:snapToGrid w:val="0"/>
        <w:spacing w:before="120" w:beforeLines="50" w:after="50" w:line="440" w:lineRule="exact"/>
        <w:jc w:val="left"/>
        <w:outlineLvl w:val="1"/>
        <w:rPr>
          <w:szCs w:val="21"/>
        </w:rPr>
      </w:pPr>
      <w:r>
        <w:rPr>
          <w:bCs/>
          <w:sz w:val="24"/>
        </w:rPr>
        <w:br w:type="page"/>
      </w:r>
      <w:bookmarkStart w:id="80" w:name="_Hlk34130671"/>
      <w:r>
        <w:rPr>
          <w:sz w:val="24"/>
        </w:rPr>
        <w:t>4．</w:t>
      </w:r>
      <w:r>
        <w:rPr>
          <w:rFonts w:hint="eastAsia"/>
          <w:sz w:val="24"/>
        </w:rPr>
        <w:t>电子投标文件</w:t>
      </w:r>
      <w:r>
        <w:rPr>
          <w:sz w:val="24"/>
        </w:rPr>
        <w:t>信封封面参考格式（可以手写，密封）</w:t>
      </w:r>
      <w:r>
        <w:rPr>
          <w:rFonts w:hint="eastAsia"/>
          <w:sz w:val="24"/>
        </w:rPr>
        <w:t>（如提供）</w:t>
      </w:r>
      <w:r>
        <w:rPr>
          <w:sz w:val="24"/>
        </w:rPr>
        <w:t>： </w:t>
      </w:r>
      <w:r>
        <w:rPr>
          <w:sz w:val="24"/>
        </w:rPr>
        <w:br w:type="textWrapping"/>
      </w:r>
      <w:r>
        <w:br w:type="textWrapping"/>
      </w:r>
    </w:p>
    <w:p>
      <w:pPr>
        <w:snapToGrid w:val="0"/>
        <w:spacing w:before="120" w:beforeLines="50" w:after="50" w:line="440" w:lineRule="exact"/>
        <w:jc w:val="center"/>
        <w:rPr>
          <w:b/>
          <w:bCs/>
          <w:sz w:val="44"/>
          <w:szCs w:val="44"/>
        </w:rPr>
      </w:pPr>
      <w:r>
        <w:rPr>
          <w:b/>
          <w:bCs/>
          <w:sz w:val="44"/>
          <w:szCs w:val="44"/>
        </w:rPr>
        <w:t>投 标 文 件</w:t>
      </w:r>
      <w:r>
        <w:rPr>
          <w:rFonts w:hint="eastAsia"/>
          <w:b/>
          <w:bCs/>
          <w:sz w:val="44"/>
          <w:szCs w:val="44"/>
        </w:rPr>
        <w:t xml:space="preserve"> </w:t>
      </w:r>
    </w:p>
    <w:p>
      <w:pPr>
        <w:snapToGrid w:val="0"/>
        <w:spacing w:before="120" w:beforeLines="50" w:after="50" w:line="440" w:lineRule="exact"/>
        <w:rPr>
          <w:bCs/>
          <w:sz w:val="24"/>
        </w:rPr>
      </w:pPr>
    </w:p>
    <w:p>
      <w:pPr>
        <w:snapToGrid w:val="0"/>
        <w:spacing w:before="120" w:beforeLines="50" w:after="50" w:line="440" w:lineRule="exact"/>
        <w:ind w:firstLine="720" w:firstLineChars="300"/>
        <w:rPr>
          <w:bCs/>
          <w:sz w:val="24"/>
        </w:rPr>
      </w:pPr>
      <w:r>
        <w:rPr>
          <w:bCs/>
          <w:sz w:val="24"/>
        </w:rPr>
        <w:t xml:space="preserve">项目名称： </w:t>
      </w:r>
    </w:p>
    <w:p>
      <w:pPr>
        <w:snapToGrid w:val="0"/>
        <w:spacing w:before="120" w:beforeLines="50" w:after="50" w:line="440" w:lineRule="exact"/>
        <w:ind w:firstLine="720" w:firstLineChars="300"/>
        <w:rPr>
          <w:bCs/>
          <w:sz w:val="24"/>
        </w:rPr>
      </w:pPr>
      <w:r>
        <w:rPr>
          <w:bCs/>
          <w:sz w:val="24"/>
        </w:rPr>
        <w:t xml:space="preserve">项目编号： </w:t>
      </w:r>
    </w:p>
    <w:p>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pPr>
        <w:pStyle w:val="7"/>
        <w:snapToGrid w:val="0"/>
        <w:spacing w:before="50" w:after="50" w:line="440" w:lineRule="exact"/>
        <w:ind w:firstLine="720" w:firstLineChars="300"/>
        <w:rPr>
          <w:bCs/>
          <w:sz w:val="24"/>
          <w:szCs w:val="24"/>
        </w:rPr>
      </w:pPr>
      <w:r>
        <w:rPr>
          <w:bCs/>
          <w:sz w:val="24"/>
          <w:szCs w:val="24"/>
        </w:rPr>
        <w:t>投标文件名称：</w:t>
      </w:r>
      <w:bookmarkStart w:id="81" w:name="_Hlk34639151"/>
      <w:r>
        <w:rPr>
          <w:rFonts w:hint="eastAsia"/>
          <w:bCs/>
          <w:sz w:val="24"/>
          <w:szCs w:val="24"/>
        </w:rPr>
        <w:t>不加密格式电子投标文件</w:t>
      </w:r>
    </w:p>
    <w:bookmarkEnd w:id="81"/>
    <w:p>
      <w:pPr>
        <w:pStyle w:val="7"/>
        <w:snapToGrid w:val="0"/>
        <w:spacing w:before="50" w:after="50" w:line="440" w:lineRule="exact"/>
        <w:ind w:firstLine="720" w:firstLineChars="300"/>
        <w:rPr>
          <w:bCs/>
          <w:sz w:val="24"/>
          <w:szCs w:val="24"/>
        </w:rPr>
      </w:pPr>
      <w:r>
        <w:rPr>
          <w:bCs/>
          <w:sz w:val="24"/>
          <w:szCs w:val="24"/>
        </w:rPr>
        <w:t>供应商名称：</w:t>
      </w:r>
    </w:p>
    <w:p>
      <w:pPr>
        <w:pStyle w:val="7"/>
        <w:snapToGrid w:val="0"/>
        <w:spacing w:before="50" w:after="50" w:line="440" w:lineRule="exact"/>
        <w:ind w:firstLine="720" w:firstLineChars="300"/>
        <w:rPr>
          <w:bCs/>
          <w:sz w:val="24"/>
          <w:szCs w:val="24"/>
        </w:rPr>
      </w:pPr>
      <w:r>
        <w:rPr>
          <w:bCs/>
          <w:sz w:val="24"/>
          <w:szCs w:val="24"/>
        </w:rPr>
        <w:t>供应商地址：</w:t>
      </w:r>
    </w:p>
    <w:p>
      <w:pPr>
        <w:pStyle w:val="7"/>
        <w:snapToGrid w:val="0"/>
        <w:spacing w:before="50" w:after="50" w:line="440" w:lineRule="exact"/>
        <w:ind w:firstLine="720" w:firstLineChars="300"/>
        <w:rPr>
          <w:bCs/>
          <w:sz w:val="24"/>
          <w:szCs w:val="24"/>
        </w:rPr>
      </w:pPr>
    </w:p>
    <w:p>
      <w:pPr>
        <w:pStyle w:val="7"/>
        <w:snapToGrid w:val="0"/>
        <w:spacing w:before="50" w:after="50" w:line="440" w:lineRule="exact"/>
        <w:ind w:firstLine="720" w:firstLineChars="300"/>
        <w:rPr>
          <w:bCs/>
          <w:sz w:val="24"/>
          <w:szCs w:val="24"/>
        </w:rPr>
      </w:pPr>
      <w:r>
        <w:rPr>
          <w:bCs/>
          <w:sz w:val="24"/>
          <w:szCs w:val="24"/>
        </w:rPr>
        <w:t>在  年  月  日  时  分之前不得启封</w:t>
      </w:r>
    </w:p>
    <w:p>
      <w:pPr>
        <w:snapToGrid w:val="0"/>
        <w:spacing w:before="120" w:beforeLines="50" w:after="50" w:line="440" w:lineRule="exact"/>
        <w:ind w:firstLine="4080" w:firstLineChars="1700"/>
        <w:rPr>
          <w:bCs/>
          <w:sz w:val="24"/>
        </w:rPr>
      </w:pPr>
    </w:p>
    <w:p>
      <w:pPr>
        <w:snapToGrid w:val="0"/>
        <w:spacing w:before="120" w:beforeLines="50" w:after="50" w:line="440" w:lineRule="exact"/>
        <w:ind w:firstLine="645"/>
        <w:jc w:val="center"/>
        <w:rPr>
          <w:bCs/>
          <w:sz w:val="24"/>
        </w:rPr>
      </w:pPr>
      <w:r>
        <w:rPr>
          <w:bCs/>
          <w:sz w:val="24"/>
        </w:rPr>
        <w:t xml:space="preserve">                        年  月  日</w:t>
      </w:r>
    </w:p>
    <w:p>
      <w:pPr>
        <w:rPr>
          <w:szCs w:val="21"/>
        </w:rPr>
      </w:pPr>
    </w:p>
    <w:bookmarkEnd w:id="80"/>
    <w:p>
      <w:pPr>
        <w:tabs>
          <w:tab w:val="left" w:pos="660"/>
        </w:tabs>
        <w:snapToGrid w:val="0"/>
        <w:spacing w:before="120" w:beforeLines="50" w:after="50" w:line="440" w:lineRule="exact"/>
        <w:jc w:val="left"/>
        <w:outlineLvl w:val="1"/>
        <w:rPr>
          <w:szCs w:val="21"/>
        </w:rPr>
      </w:pPr>
      <w:r>
        <w:rPr>
          <w:szCs w:val="21"/>
        </w:rPr>
        <w:br w:type="page"/>
      </w:r>
      <w:r>
        <w:rPr>
          <w:sz w:val="24"/>
        </w:rPr>
        <w:t>5．</w:t>
      </w:r>
      <w:r>
        <w:rPr>
          <w:rFonts w:hint="eastAsia"/>
          <w:sz w:val="24"/>
        </w:rPr>
        <w:t>演示文件</w:t>
      </w:r>
      <w:r>
        <w:rPr>
          <w:sz w:val="24"/>
        </w:rPr>
        <w:t>信封封面参考格式（可以手写，密封）</w:t>
      </w:r>
      <w:r>
        <w:rPr>
          <w:rFonts w:hint="eastAsia"/>
          <w:sz w:val="24"/>
        </w:rPr>
        <w:t>（如有）</w:t>
      </w:r>
      <w:r>
        <w:rPr>
          <w:sz w:val="24"/>
        </w:rPr>
        <w:t xml:space="preserve"> </w:t>
      </w:r>
      <w:r>
        <w:rPr>
          <w:rFonts w:hint="eastAsia"/>
          <w:sz w:val="24"/>
        </w:rPr>
        <w:t>：</w:t>
      </w:r>
    </w:p>
    <w:p>
      <w:pPr>
        <w:rPr>
          <w:b/>
          <w:szCs w:val="21"/>
        </w:rPr>
      </w:pPr>
    </w:p>
    <w:p>
      <w:pPr>
        <w:rPr>
          <w:b/>
          <w:szCs w:val="21"/>
        </w:rPr>
      </w:pPr>
    </w:p>
    <w:p>
      <w:pPr>
        <w:rPr>
          <w:b/>
          <w:szCs w:val="21"/>
        </w:rPr>
      </w:pPr>
    </w:p>
    <w:p>
      <w:pPr>
        <w:jc w:val="center"/>
        <w:rPr>
          <w:b/>
          <w:szCs w:val="21"/>
        </w:rPr>
      </w:pPr>
    </w:p>
    <w:p>
      <w:pPr>
        <w:snapToGrid w:val="0"/>
        <w:spacing w:before="120" w:beforeLines="50" w:after="50" w:line="440" w:lineRule="exact"/>
        <w:jc w:val="center"/>
        <w:rPr>
          <w:b/>
          <w:bCs/>
          <w:sz w:val="44"/>
          <w:szCs w:val="44"/>
        </w:rPr>
      </w:pPr>
      <w:bookmarkStart w:id="82" w:name="_Hlk34639163"/>
      <w:r>
        <w:rPr>
          <w:rFonts w:hint="eastAsia"/>
          <w:b/>
          <w:bCs/>
          <w:sz w:val="44"/>
          <w:szCs w:val="44"/>
        </w:rPr>
        <w:t>投 标</w:t>
      </w:r>
      <w:r>
        <w:rPr>
          <w:b/>
          <w:bCs/>
          <w:sz w:val="44"/>
          <w:szCs w:val="44"/>
        </w:rPr>
        <w:t xml:space="preserve"> 文 件</w:t>
      </w:r>
      <w:r>
        <w:rPr>
          <w:rFonts w:hint="eastAsia"/>
          <w:b/>
          <w:bCs/>
          <w:sz w:val="44"/>
          <w:szCs w:val="44"/>
        </w:rPr>
        <w:t xml:space="preserve"> </w:t>
      </w:r>
    </w:p>
    <w:bookmarkEnd w:id="82"/>
    <w:p>
      <w:pPr>
        <w:snapToGrid w:val="0"/>
        <w:spacing w:before="120" w:beforeLines="50" w:after="50" w:line="440" w:lineRule="exact"/>
        <w:rPr>
          <w:bCs/>
          <w:sz w:val="24"/>
        </w:rPr>
      </w:pPr>
    </w:p>
    <w:p>
      <w:pPr>
        <w:snapToGrid w:val="0"/>
        <w:spacing w:before="120" w:beforeLines="50" w:after="50" w:line="440" w:lineRule="exact"/>
        <w:ind w:firstLine="720" w:firstLineChars="300"/>
        <w:rPr>
          <w:bCs/>
          <w:sz w:val="24"/>
        </w:rPr>
      </w:pPr>
      <w:r>
        <w:rPr>
          <w:bCs/>
          <w:sz w:val="24"/>
        </w:rPr>
        <w:t xml:space="preserve">项目名称： </w:t>
      </w:r>
    </w:p>
    <w:p>
      <w:pPr>
        <w:snapToGrid w:val="0"/>
        <w:spacing w:before="120" w:beforeLines="50" w:after="50" w:line="440" w:lineRule="exact"/>
        <w:ind w:firstLine="720" w:firstLineChars="300"/>
        <w:rPr>
          <w:bCs/>
          <w:sz w:val="24"/>
        </w:rPr>
      </w:pPr>
      <w:r>
        <w:rPr>
          <w:bCs/>
          <w:sz w:val="24"/>
        </w:rPr>
        <w:t xml:space="preserve">项目编号： </w:t>
      </w:r>
    </w:p>
    <w:p>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pPr>
        <w:pStyle w:val="7"/>
        <w:snapToGrid w:val="0"/>
        <w:spacing w:before="50" w:after="50" w:line="440" w:lineRule="exact"/>
        <w:ind w:firstLine="720" w:firstLineChars="300"/>
        <w:rPr>
          <w:bCs/>
          <w:sz w:val="24"/>
          <w:szCs w:val="24"/>
        </w:rPr>
      </w:pPr>
      <w:r>
        <w:rPr>
          <w:bCs/>
          <w:sz w:val="24"/>
          <w:szCs w:val="24"/>
        </w:rPr>
        <w:t>投标文件名称：</w:t>
      </w:r>
      <w:r>
        <w:rPr>
          <w:rFonts w:hint="eastAsia"/>
          <w:bCs/>
          <w:sz w:val="24"/>
          <w:szCs w:val="24"/>
        </w:rPr>
        <w:t>演示文件</w:t>
      </w:r>
    </w:p>
    <w:p>
      <w:pPr>
        <w:pStyle w:val="7"/>
        <w:snapToGrid w:val="0"/>
        <w:spacing w:before="50" w:after="50" w:line="440" w:lineRule="exact"/>
        <w:ind w:firstLine="720" w:firstLineChars="300"/>
        <w:rPr>
          <w:bCs/>
          <w:sz w:val="24"/>
          <w:szCs w:val="24"/>
        </w:rPr>
      </w:pPr>
      <w:r>
        <w:rPr>
          <w:bCs/>
          <w:sz w:val="24"/>
          <w:szCs w:val="24"/>
        </w:rPr>
        <w:t>供应商名称：</w:t>
      </w:r>
    </w:p>
    <w:p>
      <w:pPr>
        <w:pStyle w:val="7"/>
        <w:snapToGrid w:val="0"/>
        <w:spacing w:before="50" w:after="50" w:line="440" w:lineRule="exact"/>
        <w:ind w:firstLine="720" w:firstLineChars="300"/>
        <w:rPr>
          <w:bCs/>
          <w:sz w:val="24"/>
          <w:szCs w:val="24"/>
        </w:rPr>
      </w:pPr>
      <w:r>
        <w:rPr>
          <w:bCs/>
          <w:sz w:val="24"/>
          <w:szCs w:val="24"/>
        </w:rPr>
        <w:t>供应商地址：</w:t>
      </w:r>
    </w:p>
    <w:p>
      <w:pPr>
        <w:pStyle w:val="7"/>
        <w:snapToGrid w:val="0"/>
        <w:spacing w:before="50" w:after="50" w:line="440" w:lineRule="exact"/>
        <w:ind w:firstLine="720" w:firstLineChars="300"/>
        <w:rPr>
          <w:bCs/>
          <w:sz w:val="24"/>
          <w:szCs w:val="24"/>
        </w:rPr>
      </w:pPr>
    </w:p>
    <w:p>
      <w:pPr>
        <w:pStyle w:val="7"/>
        <w:snapToGrid w:val="0"/>
        <w:spacing w:before="50" w:after="50" w:line="440" w:lineRule="exact"/>
        <w:ind w:firstLine="720" w:firstLineChars="300"/>
        <w:rPr>
          <w:bCs/>
          <w:sz w:val="24"/>
          <w:szCs w:val="24"/>
        </w:rPr>
      </w:pPr>
      <w:r>
        <w:rPr>
          <w:bCs/>
          <w:sz w:val="24"/>
          <w:szCs w:val="24"/>
        </w:rPr>
        <w:t>在  年  月  日  时  分之前不得启封</w:t>
      </w:r>
    </w:p>
    <w:p>
      <w:pPr>
        <w:snapToGrid w:val="0"/>
        <w:spacing w:before="120" w:beforeLines="50" w:after="50" w:line="440" w:lineRule="exact"/>
        <w:ind w:firstLine="4080" w:firstLineChars="1700"/>
        <w:rPr>
          <w:bCs/>
          <w:sz w:val="24"/>
        </w:rPr>
      </w:pPr>
    </w:p>
    <w:p>
      <w:pPr>
        <w:snapToGrid w:val="0"/>
        <w:spacing w:before="120" w:beforeLines="50" w:after="50" w:line="440" w:lineRule="exact"/>
        <w:ind w:firstLine="645"/>
        <w:jc w:val="center"/>
        <w:rPr>
          <w:bCs/>
          <w:sz w:val="24"/>
        </w:rPr>
      </w:pPr>
      <w:r>
        <w:rPr>
          <w:bCs/>
          <w:sz w:val="24"/>
        </w:rPr>
        <w:t xml:space="preserve">                        年  月  日</w:t>
      </w:r>
    </w:p>
    <w:p>
      <w:pPr>
        <w:snapToGrid w:val="0"/>
        <w:spacing w:before="120" w:beforeLines="50" w:after="50" w:line="440" w:lineRule="exact"/>
        <w:ind w:firstLine="645"/>
        <w:jc w:val="center"/>
        <w:rPr>
          <w:bCs/>
          <w:sz w:val="24"/>
        </w:rPr>
      </w:pPr>
    </w:p>
    <w:p>
      <w:pPr>
        <w:snapToGrid w:val="0"/>
        <w:spacing w:before="120" w:beforeLines="50" w:after="50" w:line="440" w:lineRule="exact"/>
        <w:jc w:val="left"/>
        <w:outlineLvl w:val="1"/>
        <w:rPr>
          <w:bCs/>
          <w:sz w:val="24"/>
        </w:rPr>
      </w:pPr>
      <w:r>
        <w:rPr>
          <w:szCs w:val="21"/>
        </w:rPr>
        <w:br w:type="page"/>
      </w:r>
      <w:bookmarkStart w:id="83" w:name="_Hlk34639180"/>
      <w:r>
        <w:rPr>
          <w:bCs/>
          <w:sz w:val="24"/>
        </w:rPr>
        <w:t>6．</w:t>
      </w:r>
      <w:r>
        <w:rPr>
          <w:rFonts w:hint="eastAsia"/>
          <w:bCs/>
          <w:sz w:val="24"/>
        </w:rPr>
        <w:t>纸质投标文件电子版</w:t>
      </w:r>
      <w:r>
        <w:rPr>
          <w:bCs/>
          <w:sz w:val="24"/>
        </w:rPr>
        <w:t>信封封面参考格式</w:t>
      </w:r>
      <w:r>
        <w:rPr>
          <w:szCs w:val="21"/>
        </w:rPr>
        <w:t>（可以手写，密封）</w:t>
      </w:r>
      <w:r>
        <w:rPr>
          <w:bCs/>
          <w:sz w:val="24"/>
        </w:rPr>
        <w:t xml:space="preserve">： </w:t>
      </w:r>
      <w:bookmarkEnd w:id="83"/>
    </w:p>
    <w:p>
      <w:pPr>
        <w:rPr>
          <w:b/>
          <w:szCs w:val="21"/>
        </w:rPr>
      </w:pPr>
    </w:p>
    <w:p>
      <w:pPr>
        <w:rPr>
          <w:b/>
          <w:szCs w:val="21"/>
        </w:rPr>
      </w:pPr>
    </w:p>
    <w:p>
      <w:pPr>
        <w:rPr>
          <w:b/>
          <w:szCs w:val="21"/>
        </w:rPr>
      </w:pPr>
    </w:p>
    <w:p>
      <w:pPr>
        <w:jc w:val="center"/>
        <w:rPr>
          <w:b/>
          <w:szCs w:val="21"/>
        </w:rPr>
      </w:pPr>
    </w:p>
    <w:p>
      <w:pPr>
        <w:snapToGrid w:val="0"/>
        <w:spacing w:before="120" w:beforeLines="50" w:after="50" w:line="440" w:lineRule="exact"/>
        <w:jc w:val="center"/>
        <w:rPr>
          <w:b/>
          <w:bCs/>
          <w:sz w:val="44"/>
          <w:szCs w:val="44"/>
        </w:rPr>
      </w:pPr>
      <w:r>
        <w:rPr>
          <w:b/>
          <w:bCs/>
          <w:sz w:val="44"/>
          <w:szCs w:val="44"/>
        </w:rPr>
        <w:t>投 标 文 件</w:t>
      </w:r>
      <w:r>
        <w:rPr>
          <w:rFonts w:hint="eastAsia"/>
          <w:b/>
          <w:bCs/>
          <w:sz w:val="44"/>
          <w:szCs w:val="44"/>
        </w:rPr>
        <w:t xml:space="preserve"> </w:t>
      </w:r>
    </w:p>
    <w:p>
      <w:pPr>
        <w:snapToGrid w:val="0"/>
        <w:spacing w:before="120" w:beforeLines="50" w:after="50" w:line="440" w:lineRule="exact"/>
        <w:rPr>
          <w:bCs/>
          <w:sz w:val="24"/>
        </w:rPr>
      </w:pPr>
    </w:p>
    <w:p>
      <w:pPr>
        <w:snapToGrid w:val="0"/>
        <w:spacing w:before="120" w:beforeLines="50" w:after="50" w:line="440" w:lineRule="exact"/>
        <w:ind w:firstLine="720" w:firstLineChars="300"/>
        <w:rPr>
          <w:bCs/>
          <w:sz w:val="24"/>
        </w:rPr>
      </w:pPr>
      <w:r>
        <w:rPr>
          <w:bCs/>
          <w:sz w:val="24"/>
        </w:rPr>
        <w:t xml:space="preserve">项目名称： </w:t>
      </w:r>
    </w:p>
    <w:p>
      <w:pPr>
        <w:snapToGrid w:val="0"/>
        <w:spacing w:before="120" w:beforeLines="50" w:after="50" w:line="440" w:lineRule="exact"/>
        <w:ind w:firstLine="720" w:firstLineChars="300"/>
        <w:rPr>
          <w:bCs/>
          <w:sz w:val="24"/>
        </w:rPr>
      </w:pPr>
      <w:r>
        <w:rPr>
          <w:bCs/>
          <w:sz w:val="24"/>
        </w:rPr>
        <w:t xml:space="preserve">项目编号： </w:t>
      </w:r>
    </w:p>
    <w:p>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pPr>
        <w:pStyle w:val="7"/>
        <w:snapToGrid w:val="0"/>
        <w:spacing w:before="50" w:after="50" w:line="440" w:lineRule="exact"/>
        <w:ind w:firstLine="720" w:firstLineChars="300"/>
        <w:rPr>
          <w:bCs/>
          <w:sz w:val="24"/>
          <w:szCs w:val="24"/>
        </w:rPr>
      </w:pPr>
      <w:r>
        <w:rPr>
          <w:bCs/>
          <w:sz w:val="24"/>
          <w:szCs w:val="24"/>
        </w:rPr>
        <w:t>投标文件名称：</w:t>
      </w:r>
      <w:bookmarkStart w:id="84" w:name="_Hlk34639190"/>
      <w:r>
        <w:rPr>
          <w:rFonts w:hint="eastAsia"/>
          <w:bCs/>
          <w:sz w:val="24"/>
        </w:rPr>
        <w:t>纸质投标文件电子版</w:t>
      </w:r>
      <w:bookmarkEnd w:id="84"/>
    </w:p>
    <w:p>
      <w:pPr>
        <w:pStyle w:val="7"/>
        <w:snapToGrid w:val="0"/>
        <w:spacing w:before="50" w:after="50" w:line="440" w:lineRule="exact"/>
        <w:ind w:firstLine="720" w:firstLineChars="300"/>
        <w:rPr>
          <w:bCs/>
          <w:sz w:val="24"/>
          <w:szCs w:val="24"/>
        </w:rPr>
      </w:pPr>
      <w:r>
        <w:rPr>
          <w:bCs/>
          <w:sz w:val="24"/>
          <w:szCs w:val="24"/>
        </w:rPr>
        <w:t>供应商名称：</w:t>
      </w:r>
    </w:p>
    <w:p>
      <w:pPr>
        <w:pStyle w:val="7"/>
        <w:snapToGrid w:val="0"/>
        <w:spacing w:before="50" w:after="50" w:line="440" w:lineRule="exact"/>
        <w:ind w:firstLine="720" w:firstLineChars="300"/>
        <w:rPr>
          <w:bCs/>
          <w:sz w:val="24"/>
          <w:szCs w:val="24"/>
        </w:rPr>
      </w:pPr>
      <w:r>
        <w:rPr>
          <w:bCs/>
          <w:sz w:val="24"/>
          <w:szCs w:val="24"/>
        </w:rPr>
        <w:t>供应商地址：</w:t>
      </w:r>
    </w:p>
    <w:p>
      <w:pPr>
        <w:pStyle w:val="7"/>
        <w:snapToGrid w:val="0"/>
        <w:spacing w:before="50" w:after="50" w:line="440" w:lineRule="exact"/>
        <w:ind w:firstLine="720" w:firstLineChars="300"/>
        <w:rPr>
          <w:bCs/>
          <w:sz w:val="24"/>
          <w:szCs w:val="24"/>
        </w:rPr>
      </w:pPr>
    </w:p>
    <w:p>
      <w:pPr>
        <w:pStyle w:val="7"/>
        <w:snapToGrid w:val="0"/>
        <w:spacing w:before="50" w:after="50" w:line="440" w:lineRule="exact"/>
        <w:ind w:firstLine="720" w:firstLineChars="300"/>
        <w:rPr>
          <w:bCs/>
          <w:sz w:val="24"/>
          <w:szCs w:val="24"/>
        </w:rPr>
      </w:pPr>
      <w:r>
        <w:rPr>
          <w:bCs/>
          <w:sz w:val="24"/>
          <w:szCs w:val="24"/>
        </w:rPr>
        <w:t>在  年  月  日  时  分之前不得启封</w:t>
      </w:r>
    </w:p>
    <w:p>
      <w:pPr>
        <w:snapToGrid w:val="0"/>
        <w:spacing w:before="120" w:beforeLines="50" w:after="50" w:line="440" w:lineRule="exact"/>
        <w:ind w:firstLine="4080" w:firstLineChars="1700"/>
        <w:rPr>
          <w:bCs/>
          <w:sz w:val="24"/>
        </w:rPr>
      </w:pPr>
    </w:p>
    <w:p>
      <w:pPr>
        <w:snapToGrid w:val="0"/>
        <w:spacing w:before="120" w:beforeLines="50" w:after="50" w:line="440" w:lineRule="exact"/>
        <w:ind w:firstLine="645"/>
        <w:jc w:val="center"/>
        <w:rPr>
          <w:bCs/>
          <w:sz w:val="24"/>
        </w:rPr>
      </w:pPr>
      <w:r>
        <w:rPr>
          <w:bCs/>
          <w:sz w:val="24"/>
        </w:rPr>
        <w:t xml:space="preserve">                        年  月  日</w:t>
      </w:r>
    </w:p>
    <w:p>
      <w:pPr>
        <w:tabs>
          <w:tab w:val="left" w:pos="660"/>
        </w:tabs>
        <w:snapToGrid w:val="0"/>
        <w:spacing w:before="120" w:beforeLines="50" w:after="50" w:line="440" w:lineRule="exact"/>
        <w:jc w:val="left"/>
        <w:outlineLvl w:val="1"/>
        <w:rPr>
          <w:b/>
          <w:color w:val="4472C4"/>
          <w:szCs w:val="21"/>
        </w:rPr>
      </w:pPr>
      <w:r>
        <w:rPr>
          <w:szCs w:val="21"/>
        </w:rPr>
        <w:br w:type="page"/>
      </w:r>
      <w:r>
        <w:rPr>
          <w:b/>
          <w:szCs w:val="21"/>
        </w:rPr>
        <w:t>7</w:t>
      </w:r>
      <w:r>
        <w:rPr>
          <w:rFonts w:hint="eastAsia"/>
          <w:b/>
          <w:szCs w:val="21"/>
        </w:rPr>
        <w:t>.声明函：</w:t>
      </w:r>
    </w:p>
    <w:p>
      <w:pPr>
        <w:snapToGrid w:val="0"/>
        <w:spacing w:before="120" w:beforeLines="50" w:after="50" w:line="440" w:lineRule="exact"/>
        <w:jc w:val="center"/>
        <w:rPr>
          <w:b/>
          <w:sz w:val="36"/>
          <w:szCs w:val="36"/>
        </w:rPr>
      </w:pPr>
      <w:r>
        <w:rPr>
          <w:rFonts w:hint="eastAsia"/>
          <w:b/>
          <w:sz w:val="36"/>
          <w:szCs w:val="36"/>
        </w:rPr>
        <w:t>声明函</w:t>
      </w:r>
    </w:p>
    <w:p>
      <w:pPr>
        <w:snapToGrid w:val="0"/>
        <w:spacing w:before="120" w:beforeLines="50" w:after="50" w:line="440" w:lineRule="exact"/>
        <w:rPr>
          <w:bCs/>
          <w:sz w:val="24"/>
          <w:u w:val="single"/>
        </w:rPr>
      </w:pPr>
    </w:p>
    <w:p>
      <w:pPr>
        <w:snapToGrid w:val="0"/>
        <w:spacing w:before="120" w:beforeLines="50" w:after="50" w:line="440" w:lineRule="exact"/>
        <w:rPr>
          <w:bCs/>
          <w:sz w:val="22"/>
          <w:szCs w:val="22"/>
        </w:rPr>
      </w:pPr>
      <w:r>
        <w:rPr>
          <w:rFonts w:hint="eastAsia"/>
          <w:bCs/>
          <w:sz w:val="22"/>
          <w:szCs w:val="22"/>
          <w:u w:val="single"/>
        </w:rPr>
        <w:t>广西机电设备招标有限公司</w:t>
      </w:r>
      <w:r>
        <w:rPr>
          <w:bCs/>
          <w:sz w:val="22"/>
          <w:szCs w:val="22"/>
          <w:u w:val="single"/>
        </w:rPr>
        <w:t xml:space="preserve"> </w:t>
      </w:r>
      <w:r>
        <w:rPr>
          <w:szCs w:val="21"/>
        </w:rPr>
        <w:t>：</w:t>
      </w:r>
    </w:p>
    <w:p>
      <w:pPr>
        <w:snapToGrid w:val="0"/>
        <w:spacing w:before="120" w:beforeLines="50" w:after="50" w:line="440" w:lineRule="exact"/>
        <w:rPr>
          <w:szCs w:val="21"/>
        </w:rPr>
      </w:pPr>
      <w:r>
        <w:rPr>
          <w:rFonts w:hint="eastAsia"/>
          <w:bCs/>
          <w:sz w:val="24"/>
        </w:rPr>
        <w:t xml:space="preserve"> </w:t>
      </w:r>
      <w:r>
        <w:rPr>
          <w:bCs/>
          <w:sz w:val="24"/>
        </w:rPr>
        <w:t xml:space="preserve">   </w:t>
      </w:r>
      <w:r>
        <w:rPr>
          <w:rFonts w:hint="eastAsia"/>
          <w:szCs w:val="21"/>
        </w:rPr>
        <w:t>我方参加贵方组织的</w:t>
      </w:r>
      <w:r>
        <w:rPr>
          <w:rFonts w:hint="eastAsia"/>
          <w:i/>
          <w:iCs/>
          <w:szCs w:val="21"/>
          <w:u w:val="single"/>
        </w:rPr>
        <w:t>（项目名称）（项目编号）</w:t>
      </w:r>
      <w:r>
        <w:rPr>
          <w:rFonts w:hint="eastAsia"/>
          <w:szCs w:val="21"/>
        </w:rPr>
        <w:t>项目的投标，为响应疫情防控工作有关部署，有效减少人员聚集，阻断疫情传播，特就投标事宜作出以下声明：</w:t>
      </w:r>
    </w:p>
    <w:p>
      <w:pPr>
        <w:snapToGrid w:val="0"/>
        <w:spacing w:before="120" w:beforeLines="50" w:after="50" w:line="440" w:lineRule="exact"/>
        <w:ind w:firstLine="420" w:firstLineChars="200"/>
        <w:rPr>
          <w:szCs w:val="21"/>
        </w:rPr>
      </w:pPr>
      <w:r>
        <w:rPr>
          <w:szCs w:val="21"/>
        </w:rPr>
        <w:t>1</w:t>
      </w:r>
      <w:r>
        <w:rPr>
          <w:rFonts w:hint="eastAsia"/>
          <w:szCs w:val="21"/>
        </w:rPr>
        <w:t>、我方愿意授权</w:t>
      </w:r>
      <w:r>
        <w:rPr>
          <w:rFonts w:hint="eastAsia"/>
        </w:rPr>
        <w:t>贵方工作人员</w:t>
      </w:r>
      <w:r>
        <w:rPr>
          <w:rFonts w:hint="eastAsia"/>
          <w:szCs w:val="21"/>
        </w:rPr>
        <w:t>代表我方检查投标文件的密封性、确认开标记录、认可开标结果。</w:t>
      </w:r>
    </w:p>
    <w:p>
      <w:pPr>
        <w:snapToGrid w:val="0"/>
        <w:spacing w:before="120" w:beforeLines="50" w:after="50" w:line="440" w:lineRule="exact"/>
        <w:ind w:firstLine="420" w:firstLineChars="200"/>
        <w:rPr>
          <w:szCs w:val="21"/>
        </w:rPr>
      </w:pPr>
      <w:r>
        <w:rPr>
          <w:szCs w:val="21"/>
        </w:rPr>
        <w:t>2</w:t>
      </w:r>
      <w:r>
        <w:rPr>
          <w:rFonts w:hint="eastAsia"/>
          <w:szCs w:val="21"/>
        </w:rPr>
        <w:t>、我方授权代表签署的任何文件及其扫描件，我方均予以认可。</w:t>
      </w:r>
    </w:p>
    <w:p>
      <w:pPr>
        <w:snapToGrid w:val="0"/>
        <w:spacing w:before="120" w:beforeLines="50" w:after="50" w:line="440" w:lineRule="exact"/>
        <w:ind w:firstLine="420" w:firstLineChars="200"/>
        <w:rPr>
          <w:szCs w:val="21"/>
        </w:rPr>
      </w:pPr>
      <w:r>
        <w:rPr>
          <w:szCs w:val="21"/>
        </w:rPr>
        <w:t>3</w:t>
      </w:r>
      <w:r>
        <w:rPr>
          <w:rFonts w:hint="eastAsia"/>
          <w:szCs w:val="21"/>
        </w:rPr>
        <w:t>、我方以上声明均为真实意思表示，如有虚假，愿意承担一切不利法律后果。</w:t>
      </w:r>
    </w:p>
    <w:p>
      <w:pPr>
        <w:snapToGrid w:val="0"/>
        <w:spacing w:before="120" w:beforeLines="50" w:after="50" w:line="440" w:lineRule="exact"/>
        <w:rPr>
          <w:szCs w:val="21"/>
        </w:rPr>
      </w:pPr>
    </w:p>
    <w:p>
      <w:pPr>
        <w:snapToGrid w:val="0"/>
        <w:spacing w:before="120" w:beforeLines="50" w:after="50" w:line="440" w:lineRule="exact"/>
        <w:ind w:firstLine="630" w:firstLineChars="300"/>
        <w:rPr>
          <w:szCs w:val="21"/>
        </w:rPr>
      </w:pPr>
      <w:r>
        <w:rPr>
          <w:rFonts w:hint="eastAsia"/>
          <w:szCs w:val="21"/>
        </w:rPr>
        <w:t>特此声明。</w:t>
      </w:r>
    </w:p>
    <w:p>
      <w:pPr>
        <w:snapToGrid w:val="0"/>
        <w:spacing w:before="120" w:beforeLines="50" w:after="50" w:line="440" w:lineRule="exact"/>
        <w:rPr>
          <w:bCs/>
          <w:sz w:val="24"/>
        </w:rPr>
      </w:pPr>
    </w:p>
    <w:p>
      <w:pPr>
        <w:snapToGrid w:val="0"/>
        <w:spacing w:before="120" w:beforeLines="50" w:after="50" w:line="440" w:lineRule="exact"/>
        <w:rPr>
          <w:bCs/>
          <w:sz w:val="24"/>
        </w:rPr>
      </w:pPr>
    </w:p>
    <w:p>
      <w:pPr>
        <w:snapToGrid w:val="0"/>
        <w:spacing w:before="120" w:beforeLines="50" w:after="50" w:line="440" w:lineRule="exact"/>
        <w:rPr>
          <w:bCs/>
          <w:sz w:val="24"/>
        </w:rPr>
      </w:pPr>
    </w:p>
    <w:p>
      <w:pPr>
        <w:snapToGrid w:val="0"/>
        <w:spacing w:before="120" w:beforeLines="50" w:after="50" w:line="440" w:lineRule="exact"/>
        <w:jc w:val="right"/>
        <w:rPr>
          <w:bCs/>
          <w:sz w:val="24"/>
        </w:rPr>
      </w:pPr>
      <w:r>
        <w:rPr>
          <w:rFonts w:hint="eastAsia"/>
          <w:bCs/>
          <w:sz w:val="24"/>
        </w:rPr>
        <w:t>供应商名称（公章）：</w:t>
      </w:r>
      <w:r>
        <w:rPr>
          <w:bCs/>
          <w:sz w:val="24"/>
          <w:u w:val="single"/>
        </w:rPr>
        <w:t xml:space="preserve">           </w:t>
      </w:r>
    </w:p>
    <w:p>
      <w:pPr>
        <w:snapToGrid w:val="0"/>
        <w:spacing w:before="120" w:beforeLines="50" w:after="50" w:line="440" w:lineRule="exact"/>
        <w:jc w:val="right"/>
        <w:rPr>
          <w:bCs/>
          <w:sz w:val="24"/>
          <w:u w:val="single"/>
        </w:rPr>
      </w:pPr>
      <w:r>
        <w:rPr>
          <w:rFonts w:hint="eastAsia"/>
          <w:bCs/>
          <w:sz w:val="24"/>
        </w:rPr>
        <w:t>法定代表人或授权委托代表签字：</w:t>
      </w:r>
      <w:r>
        <w:rPr>
          <w:rFonts w:hint="eastAsia"/>
          <w:bCs/>
          <w:sz w:val="24"/>
          <w:u w:val="single"/>
        </w:rPr>
        <w:t xml:space="preserve"> </w:t>
      </w:r>
      <w:r>
        <w:rPr>
          <w:bCs/>
          <w:sz w:val="24"/>
          <w:u w:val="single"/>
        </w:rPr>
        <w:t xml:space="preserve">          </w:t>
      </w:r>
    </w:p>
    <w:p>
      <w:pPr>
        <w:snapToGrid w:val="0"/>
        <w:spacing w:before="120" w:beforeLines="50" w:after="50" w:line="440" w:lineRule="exact"/>
        <w:jc w:val="right"/>
        <w:rPr>
          <w:color w:val="4472C4"/>
          <w:szCs w:val="21"/>
        </w:rPr>
      </w:pPr>
      <w:r>
        <w:rPr>
          <w:rFonts w:hint="eastAsia"/>
          <w:bCs/>
          <w:sz w:val="24"/>
        </w:rPr>
        <w:t>日期：</w:t>
      </w:r>
      <w:r>
        <w:rPr>
          <w:rFonts w:hint="eastAsia"/>
          <w:bCs/>
          <w:sz w:val="24"/>
          <w:u w:val="single"/>
        </w:rPr>
        <w:t xml:space="preserve"> </w:t>
      </w:r>
      <w:r>
        <w:rPr>
          <w:bCs/>
          <w:sz w:val="24"/>
          <w:u w:val="single"/>
        </w:rPr>
        <w:t xml:space="preserve">      </w:t>
      </w:r>
      <w:r>
        <w:rPr>
          <w:rFonts w:hint="eastAsia"/>
          <w:bCs/>
          <w:sz w:val="24"/>
        </w:rPr>
        <w:t>年</w:t>
      </w:r>
      <w:r>
        <w:rPr>
          <w:rFonts w:hint="eastAsia"/>
          <w:bCs/>
          <w:sz w:val="24"/>
          <w:u w:val="single"/>
        </w:rPr>
        <w:t xml:space="preserve"> </w:t>
      </w:r>
      <w:r>
        <w:rPr>
          <w:bCs/>
          <w:sz w:val="24"/>
          <w:u w:val="single"/>
        </w:rPr>
        <w:t xml:space="preserve">    </w:t>
      </w:r>
      <w:r>
        <w:rPr>
          <w:rFonts w:hint="eastAsia"/>
          <w:bCs/>
          <w:sz w:val="24"/>
        </w:rPr>
        <w:t>月</w:t>
      </w:r>
      <w:r>
        <w:rPr>
          <w:rFonts w:hint="eastAsia"/>
          <w:bCs/>
          <w:sz w:val="24"/>
          <w:u w:val="single"/>
        </w:rPr>
        <w:t xml:space="preserve"> </w:t>
      </w:r>
      <w:r>
        <w:rPr>
          <w:bCs/>
          <w:sz w:val="24"/>
          <w:u w:val="single"/>
        </w:rPr>
        <w:t xml:space="preserve">     </w:t>
      </w:r>
      <w:r>
        <w:rPr>
          <w:rFonts w:hint="eastAsia"/>
          <w:bCs/>
          <w:sz w:val="24"/>
        </w:rPr>
        <w:t>日</w:t>
      </w:r>
    </w:p>
    <w:sectPr>
      <w:headerReference r:id="rId17"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3"/>
      </w:rPr>
    </w:pPr>
    <w:r>
      <w:fldChar w:fldCharType="begin"/>
    </w:r>
    <w:r>
      <w:rPr>
        <w:rStyle w:val="53"/>
      </w:rPr>
      <w:instrText xml:space="preserve">PAGE  </w:instrText>
    </w:r>
    <w:r>
      <w:fldChar w:fldCharType="end"/>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fldChar w:fldCharType="begin"/>
    </w:r>
    <w:r>
      <w:instrText xml:space="preserve">PAGE   \* MERGEFORMAT</w:instrText>
    </w:r>
    <w:r>
      <w:fldChar w:fldCharType="separate"/>
    </w:r>
    <w:r>
      <w:rPr>
        <w:lang w:val="zh-CN"/>
      </w:rPr>
      <w:t>13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pPr>
    <w:r>
      <w:rPr>
        <w:rFonts w:hint="eastAsia"/>
      </w:rPr>
      <w:t xml:space="preserve">广西机电设备招标有限公司招标文件                                                               </w:t>
    </w:r>
  </w:p>
  <w:p>
    <w:pPr>
      <w:pStyle w:val="3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single" w:color="auto" w:sz="6" w:space="0"/>
      </w:pBdr>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pPr>
    <w:r>
      <w:rPr>
        <w:rFonts w:hint="eastAsia"/>
      </w:rPr>
      <w:t xml:space="preserve">广西机电设备招标有限公司招标文件                                                           </w:t>
    </w:r>
  </w:p>
  <w:p>
    <w:pPr>
      <w:pStyle w:val="35"/>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pPr>
    <w:r>
      <w:rPr>
        <w:rFonts w:hint="eastAsia"/>
      </w:rPr>
      <w:t xml:space="preserve">广西机电设备招标有限公司招标文件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pPr>
    <w:r>
      <w:rPr>
        <w:rFonts w:hint="eastAsia"/>
      </w:rPr>
      <w:t xml:space="preserve">广西机电设备招标有限公司招标文件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pPr>
    <w:r>
      <w:rPr>
        <w:rFonts w:hint="eastAsia"/>
      </w:rPr>
      <w:t>广西机电设备招标有限公司招标文件                                                     评标方法及评标标准</w:t>
    </w:r>
  </w:p>
  <w:p>
    <w:pPr>
      <w:pStyle w:val="35"/>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DD816C"/>
    <w:multiLevelType w:val="singleLevel"/>
    <w:tmpl w:val="B7DD816C"/>
    <w:lvl w:ilvl="0" w:tentative="0">
      <w:start w:val="1"/>
      <w:numFmt w:val="decimal"/>
      <w:lvlText w:val="%1."/>
      <w:lvlJc w:val="left"/>
      <w:pPr>
        <w:tabs>
          <w:tab w:val="left" w:pos="312"/>
        </w:tabs>
      </w:pPr>
    </w:lvl>
  </w:abstractNum>
  <w:abstractNum w:abstractNumId="1">
    <w:nsid w:val="CC0F8CD8"/>
    <w:multiLevelType w:val="singleLevel"/>
    <w:tmpl w:val="CC0F8CD8"/>
    <w:lvl w:ilvl="0" w:tentative="0">
      <w:start w:val="2"/>
      <w:numFmt w:val="decimal"/>
      <w:suff w:val="nothing"/>
      <w:lvlText w:val="%1、"/>
      <w:lvlJc w:val="left"/>
    </w:lvl>
  </w:abstractNum>
  <w:abstractNum w:abstractNumId="2">
    <w:nsid w:val="EED368C8"/>
    <w:multiLevelType w:val="singleLevel"/>
    <w:tmpl w:val="EED368C8"/>
    <w:lvl w:ilvl="0" w:tentative="0">
      <w:start w:val="1"/>
      <w:numFmt w:val="decimal"/>
      <w:lvlText w:val="%1."/>
      <w:lvlJc w:val="left"/>
      <w:pPr>
        <w:tabs>
          <w:tab w:val="left" w:pos="312"/>
        </w:tabs>
      </w:pPr>
    </w:lvl>
  </w:abstractNum>
  <w:abstractNum w:abstractNumId="3">
    <w:nsid w:val="0D651522"/>
    <w:multiLevelType w:val="multilevel"/>
    <w:tmpl w:val="0D65152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1C32C2"/>
    <w:multiLevelType w:val="singleLevel"/>
    <w:tmpl w:val="0F1C32C2"/>
    <w:lvl w:ilvl="0" w:tentative="0">
      <w:start w:val="1"/>
      <w:numFmt w:val="decimal"/>
      <w:lvlText w:val="%1."/>
      <w:lvlJc w:val="left"/>
      <w:pPr>
        <w:tabs>
          <w:tab w:val="left" w:pos="312"/>
        </w:tabs>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E6F"/>
    <w:rsid w:val="00002AC8"/>
    <w:rsid w:val="00002DDA"/>
    <w:rsid w:val="00002F41"/>
    <w:rsid w:val="00003255"/>
    <w:rsid w:val="00003C81"/>
    <w:rsid w:val="00003D02"/>
    <w:rsid w:val="00003DAE"/>
    <w:rsid w:val="0000436E"/>
    <w:rsid w:val="000058D7"/>
    <w:rsid w:val="00005E55"/>
    <w:rsid w:val="00006E2C"/>
    <w:rsid w:val="000079FF"/>
    <w:rsid w:val="00007B0D"/>
    <w:rsid w:val="00007F38"/>
    <w:rsid w:val="000102A9"/>
    <w:rsid w:val="00010339"/>
    <w:rsid w:val="000105C3"/>
    <w:rsid w:val="00011B70"/>
    <w:rsid w:val="00011D72"/>
    <w:rsid w:val="00012078"/>
    <w:rsid w:val="00012218"/>
    <w:rsid w:val="00012320"/>
    <w:rsid w:val="0001242C"/>
    <w:rsid w:val="000128AC"/>
    <w:rsid w:val="000129EA"/>
    <w:rsid w:val="00013391"/>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7504"/>
    <w:rsid w:val="000178D7"/>
    <w:rsid w:val="00017900"/>
    <w:rsid w:val="00017C14"/>
    <w:rsid w:val="00017E50"/>
    <w:rsid w:val="00017F40"/>
    <w:rsid w:val="0002053C"/>
    <w:rsid w:val="00020861"/>
    <w:rsid w:val="00020BB1"/>
    <w:rsid w:val="00020BF0"/>
    <w:rsid w:val="00020C0B"/>
    <w:rsid w:val="00020F60"/>
    <w:rsid w:val="000215B7"/>
    <w:rsid w:val="000217BF"/>
    <w:rsid w:val="00021C98"/>
    <w:rsid w:val="00021CCD"/>
    <w:rsid w:val="00021EE3"/>
    <w:rsid w:val="000228AB"/>
    <w:rsid w:val="00022C7D"/>
    <w:rsid w:val="00022F2A"/>
    <w:rsid w:val="00022F8B"/>
    <w:rsid w:val="00023187"/>
    <w:rsid w:val="000233CA"/>
    <w:rsid w:val="00023436"/>
    <w:rsid w:val="00023652"/>
    <w:rsid w:val="000236EE"/>
    <w:rsid w:val="00024633"/>
    <w:rsid w:val="0002560A"/>
    <w:rsid w:val="00025DA0"/>
    <w:rsid w:val="000262BC"/>
    <w:rsid w:val="0002696D"/>
    <w:rsid w:val="0002754D"/>
    <w:rsid w:val="00027666"/>
    <w:rsid w:val="000276B2"/>
    <w:rsid w:val="00027A1D"/>
    <w:rsid w:val="00027A46"/>
    <w:rsid w:val="00027AF3"/>
    <w:rsid w:val="00030024"/>
    <w:rsid w:val="00030124"/>
    <w:rsid w:val="000302F0"/>
    <w:rsid w:val="000305FD"/>
    <w:rsid w:val="0003084F"/>
    <w:rsid w:val="00030C2F"/>
    <w:rsid w:val="00031169"/>
    <w:rsid w:val="00031757"/>
    <w:rsid w:val="00031B37"/>
    <w:rsid w:val="00031DDD"/>
    <w:rsid w:val="00032686"/>
    <w:rsid w:val="0003274B"/>
    <w:rsid w:val="00032AD8"/>
    <w:rsid w:val="00032ADF"/>
    <w:rsid w:val="000331CC"/>
    <w:rsid w:val="0003322E"/>
    <w:rsid w:val="00033927"/>
    <w:rsid w:val="00034947"/>
    <w:rsid w:val="00034A89"/>
    <w:rsid w:val="000352BA"/>
    <w:rsid w:val="00035840"/>
    <w:rsid w:val="00035844"/>
    <w:rsid w:val="00035A8D"/>
    <w:rsid w:val="00035C94"/>
    <w:rsid w:val="00036383"/>
    <w:rsid w:val="00036BAA"/>
    <w:rsid w:val="00036E33"/>
    <w:rsid w:val="00037101"/>
    <w:rsid w:val="00037C2D"/>
    <w:rsid w:val="00037C63"/>
    <w:rsid w:val="00037CE4"/>
    <w:rsid w:val="00037DB6"/>
    <w:rsid w:val="00037FD7"/>
    <w:rsid w:val="00040187"/>
    <w:rsid w:val="000401FD"/>
    <w:rsid w:val="00040AC1"/>
    <w:rsid w:val="00040ED3"/>
    <w:rsid w:val="0004139C"/>
    <w:rsid w:val="000415E3"/>
    <w:rsid w:val="000418B1"/>
    <w:rsid w:val="00041C02"/>
    <w:rsid w:val="00042280"/>
    <w:rsid w:val="0004231D"/>
    <w:rsid w:val="000424AB"/>
    <w:rsid w:val="00042BF9"/>
    <w:rsid w:val="00042ED7"/>
    <w:rsid w:val="000431D3"/>
    <w:rsid w:val="00043295"/>
    <w:rsid w:val="00043FFA"/>
    <w:rsid w:val="00044236"/>
    <w:rsid w:val="00044578"/>
    <w:rsid w:val="00044990"/>
    <w:rsid w:val="00044A8C"/>
    <w:rsid w:val="00045069"/>
    <w:rsid w:val="00045070"/>
    <w:rsid w:val="00045947"/>
    <w:rsid w:val="000459FB"/>
    <w:rsid w:val="000462A8"/>
    <w:rsid w:val="00046360"/>
    <w:rsid w:val="0004653D"/>
    <w:rsid w:val="000465AB"/>
    <w:rsid w:val="00046E59"/>
    <w:rsid w:val="000472E6"/>
    <w:rsid w:val="000479CD"/>
    <w:rsid w:val="000479FF"/>
    <w:rsid w:val="00047FDF"/>
    <w:rsid w:val="000500E6"/>
    <w:rsid w:val="000504FE"/>
    <w:rsid w:val="000513E2"/>
    <w:rsid w:val="00051C80"/>
    <w:rsid w:val="00052326"/>
    <w:rsid w:val="000529E7"/>
    <w:rsid w:val="00052DBE"/>
    <w:rsid w:val="00053175"/>
    <w:rsid w:val="000534EE"/>
    <w:rsid w:val="0005359C"/>
    <w:rsid w:val="0005387F"/>
    <w:rsid w:val="00053BFC"/>
    <w:rsid w:val="0005428F"/>
    <w:rsid w:val="000544F4"/>
    <w:rsid w:val="000545D3"/>
    <w:rsid w:val="00054870"/>
    <w:rsid w:val="00054AB0"/>
    <w:rsid w:val="00054ABD"/>
    <w:rsid w:val="00054CCC"/>
    <w:rsid w:val="00054F7D"/>
    <w:rsid w:val="00055230"/>
    <w:rsid w:val="00055557"/>
    <w:rsid w:val="000555EA"/>
    <w:rsid w:val="00055945"/>
    <w:rsid w:val="00055A8A"/>
    <w:rsid w:val="00055E6D"/>
    <w:rsid w:val="00055FB0"/>
    <w:rsid w:val="0005625F"/>
    <w:rsid w:val="0005649E"/>
    <w:rsid w:val="0005682D"/>
    <w:rsid w:val="00056945"/>
    <w:rsid w:val="0005700C"/>
    <w:rsid w:val="00057393"/>
    <w:rsid w:val="00057E45"/>
    <w:rsid w:val="0006027F"/>
    <w:rsid w:val="00060523"/>
    <w:rsid w:val="000606B6"/>
    <w:rsid w:val="000609AC"/>
    <w:rsid w:val="0006148A"/>
    <w:rsid w:val="000618AE"/>
    <w:rsid w:val="00062637"/>
    <w:rsid w:val="0006263C"/>
    <w:rsid w:val="00062949"/>
    <w:rsid w:val="000631AC"/>
    <w:rsid w:val="000631B7"/>
    <w:rsid w:val="000633DD"/>
    <w:rsid w:val="00063894"/>
    <w:rsid w:val="000639D4"/>
    <w:rsid w:val="00063B29"/>
    <w:rsid w:val="0006408F"/>
    <w:rsid w:val="000642D1"/>
    <w:rsid w:val="000646CC"/>
    <w:rsid w:val="00064840"/>
    <w:rsid w:val="000648B7"/>
    <w:rsid w:val="00064A48"/>
    <w:rsid w:val="00064C80"/>
    <w:rsid w:val="00065429"/>
    <w:rsid w:val="00065AB7"/>
    <w:rsid w:val="00065BFE"/>
    <w:rsid w:val="00065C40"/>
    <w:rsid w:val="00065D71"/>
    <w:rsid w:val="000673D8"/>
    <w:rsid w:val="00067DE7"/>
    <w:rsid w:val="0007014F"/>
    <w:rsid w:val="000706AC"/>
    <w:rsid w:val="00070950"/>
    <w:rsid w:val="000709D3"/>
    <w:rsid w:val="00070A7D"/>
    <w:rsid w:val="00070AAB"/>
    <w:rsid w:val="000712F8"/>
    <w:rsid w:val="00071A68"/>
    <w:rsid w:val="00071A6A"/>
    <w:rsid w:val="00071C95"/>
    <w:rsid w:val="00072A95"/>
    <w:rsid w:val="00072CEC"/>
    <w:rsid w:val="0007368B"/>
    <w:rsid w:val="00073C3B"/>
    <w:rsid w:val="00074923"/>
    <w:rsid w:val="00074EE8"/>
    <w:rsid w:val="000750EA"/>
    <w:rsid w:val="0007539D"/>
    <w:rsid w:val="00075A8D"/>
    <w:rsid w:val="000774F1"/>
    <w:rsid w:val="00077698"/>
    <w:rsid w:val="000777B1"/>
    <w:rsid w:val="00077891"/>
    <w:rsid w:val="0007797E"/>
    <w:rsid w:val="00077C1B"/>
    <w:rsid w:val="0008017C"/>
    <w:rsid w:val="00080321"/>
    <w:rsid w:val="00080AA6"/>
    <w:rsid w:val="00080BE2"/>
    <w:rsid w:val="00081C1C"/>
    <w:rsid w:val="0008224F"/>
    <w:rsid w:val="000822F0"/>
    <w:rsid w:val="000824BD"/>
    <w:rsid w:val="00082611"/>
    <w:rsid w:val="0008264F"/>
    <w:rsid w:val="0008304A"/>
    <w:rsid w:val="0008372E"/>
    <w:rsid w:val="00083A64"/>
    <w:rsid w:val="00083B97"/>
    <w:rsid w:val="000842B5"/>
    <w:rsid w:val="00085560"/>
    <w:rsid w:val="00085E63"/>
    <w:rsid w:val="00086067"/>
    <w:rsid w:val="000866A9"/>
    <w:rsid w:val="00086EC2"/>
    <w:rsid w:val="000870C0"/>
    <w:rsid w:val="00087358"/>
    <w:rsid w:val="000873F5"/>
    <w:rsid w:val="00087B15"/>
    <w:rsid w:val="00087E2E"/>
    <w:rsid w:val="000900DF"/>
    <w:rsid w:val="00090193"/>
    <w:rsid w:val="0009021F"/>
    <w:rsid w:val="00090524"/>
    <w:rsid w:val="0009134B"/>
    <w:rsid w:val="00091D8D"/>
    <w:rsid w:val="00093869"/>
    <w:rsid w:val="00093BC0"/>
    <w:rsid w:val="00093DF8"/>
    <w:rsid w:val="000941F6"/>
    <w:rsid w:val="0009454A"/>
    <w:rsid w:val="000945C5"/>
    <w:rsid w:val="00094ECF"/>
    <w:rsid w:val="0009592E"/>
    <w:rsid w:val="00095AAF"/>
    <w:rsid w:val="00095B76"/>
    <w:rsid w:val="00095ECB"/>
    <w:rsid w:val="00096D28"/>
    <w:rsid w:val="0009715C"/>
    <w:rsid w:val="00097406"/>
    <w:rsid w:val="000975D5"/>
    <w:rsid w:val="000A10DB"/>
    <w:rsid w:val="000A111D"/>
    <w:rsid w:val="000A117F"/>
    <w:rsid w:val="000A128A"/>
    <w:rsid w:val="000A165F"/>
    <w:rsid w:val="000A2960"/>
    <w:rsid w:val="000A2968"/>
    <w:rsid w:val="000A299E"/>
    <w:rsid w:val="000A2AE9"/>
    <w:rsid w:val="000A2E97"/>
    <w:rsid w:val="000A3515"/>
    <w:rsid w:val="000A3518"/>
    <w:rsid w:val="000A4852"/>
    <w:rsid w:val="000A4ACE"/>
    <w:rsid w:val="000A509A"/>
    <w:rsid w:val="000A6C4D"/>
    <w:rsid w:val="000A6C54"/>
    <w:rsid w:val="000A6F1D"/>
    <w:rsid w:val="000A70C7"/>
    <w:rsid w:val="000A7238"/>
    <w:rsid w:val="000A745D"/>
    <w:rsid w:val="000A791D"/>
    <w:rsid w:val="000A7931"/>
    <w:rsid w:val="000B034B"/>
    <w:rsid w:val="000B0720"/>
    <w:rsid w:val="000B09FE"/>
    <w:rsid w:val="000B0BB1"/>
    <w:rsid w:val="000B15EF"/>
    <w:rsid w:val="000B26D6"/>
    <w:rsid w:val="000B2D1E"/>
    <w:rsid w:val="000B316D"/>
    <w:rsid w:val="000B3194"/>
    <w:rsid w:val="000B3CFE"/>
    <w:rsid w:val="000B4EF3"/>
    <w:rsid w:val="000B554C"/>
    <w:rsid w:val="000B5D87"/>
    <w:rsid w:val="000B60C6"/>
    <w:rsid w:val="000B6115"/>
    <w:rsid w:val="000B68A5"/>
    <w:rsid w:val="000B6F18"/>
    <w:rsid w:val="000B70DB"/>
    <w:rsid w:val="000B76E7"/>
    <w:rsid w:val="000B797D"/>
    <w:rsid w:val="000B7AC2"/>
    <w:rsid w:val="000B7E6D"/>
    <w:rsid w:val="000C1979"/>
    <w:rsid w:val="000C20B5"/>
    <w:rsid w:val="000C270D"/>
    <w:rsid w:val="000C2B1E"/>
    <w:rsid w:val="000C350A"/>
    <w:rsid w:val="000C3518"/>
    <w:rsid w:val="000C3762"/>
    <w:rsid w:val="000C41CD"/>
    <w:rsid w:val="000C4988"/>
    <w:rsid w:val="000C59D1"/>
    <w:rsid w:val="000C5C88"/>
    <w:rsid w:val="000C64D1"/>
    <w:rsid w:val="000C655F"/>
    <w:rsid w:val="000C66AB"/>
    <w:rsid w:val="000C6872"/>
    <w:rsid w:val="000C7045"/>
    <w:rsid w:val="000C718C"/>
    <w:rsid w:val="000C71D4"/>
    <w:rsid w:val="000C7563"/>
    <w:rsid w:val="000C757A"/>
    <w:rsid w:val="000C7D9F"/>
    <w:rsid w:val="000D074C"/>
    <w:rsid w:val="000D0C28"/>
    <w:rsid w:val="000D0F2E"/>
    <w:rsid w:val="000D1788"/>
    <w:rsid w:val="000D2D0F"/>
    <w:rsid w:val="000D31CB"/>
    <w:rsid w:val="000D3E1B"/>
    <w:rsid w:val="000D4061"/>
    <w:rsid w:val="000D4860"/>
    <w:rsid w:val="000D48FB"/>
    <w:rsid w:val="000D4B4F"/>
    <w:rsid w:val="000D4E0B"/>
    <w:rsid w:val="000D4EC1"/>
    <w:rsid w:val="000D55FD"/>
    <w:rsid w:val="000D562F"/>
    <w:rsid w:val="000D56C7"/>
    <w:rsid w:val="000D672C"/>
    <w:rsid w:val="000D68F4"/>
    <w:rsid w:val="000D6A04"/>
    <w:rsid w:val="000D6A61"/>
    <w:rsid w:val="000D6C78"/>
    <w:rsid w:val="000D74B9"/>
    <w:rsid w:val="000D77A9"/>
    <w:rsid w:val="000E01DF"/>
    <w:rsid w:val="000E1094"/>
    <w:rsid w:val="000E1838"/>
    <w:rsid w:val="000E18A1"/>
    <w:rsid w:val="000E19D1"/>
    <w:rsid w:val="000E1AC3"/>
    <w:rsid w:val="000E1C04"/>
    <w:rsid w:val="000E20DA"/>
    <w:rsid w:val="000E29CF"/>
    <w:rsid w:val="000E2AD1"/>
    <w:rsid w:val="000E2F86"/>
    <w:rsid w:val="000E3D2F"/>
    <w:rsid w:val="000E42EF"/>
    <w:rsid w:val="000E4712"/>
    <w:rsid w:val="000E4723"/>
    <w:rsid w:val="000E612C"/>
    <w:rsid w:val="000E6372"/>
    <w:rsid w:val="000E6D38"/>
    <w:rsid w:val="000E6D94"/>
    <w:rsid w:val="000E72E7"/>
    <w:rsid w:val="000E72F6"/>
    <w:rsid w:val="000E7533"/>
    <w:rsid w:val="000E75B3"/>
    <w:rsid w:val="000E7CC8"/>
    <w:rsid w:val="000F0D10"/>
    <w:rsid w:val="000F0E1D"/>
    <w:rsid w:val="000F1AF3"/>
    <w:rsid w:val="000F1B78"/>
    <w:rsid w:val="000F1F51"/>
    <w:rsid w:val="000F1FB0"/>
    <w:rsid w:val="000F2181"/>
    <w:rsid w:val="000F238F"/>
    <w:rsid w:val="000F24AC"/>
    <w:rsid w:val="000F28A5"/>
    <w:rsid w:val="000F2943"/>
    <w:rsid w:val="000F2E97"/>
    <w:rsid w:val="000F2F22"/>
    <w:rsid w:val="000F2F60"/>
    <w:rsid w:val="000F3461"/>
    <w:rsid w:val="000F4B3A"/>
    <w:rsid w:val="000F4B82"/>
    <w:rsid w:val="000F5331"/>
    <w:rsid w:val="000F55C9"/>
    <w:rsid w:val="000F60C1"/>
    <w:rsid w:val="000F6242"/>
    <w:rsid w:val="000F666F"/>
    <w:rsid w:val="000F6F32"/>
    <w:rsid w:val="000F75A8"/>
    <w:rsid w:val="000F76E0"/>
    <w:rsid w:val="000F77B5"/>
    <w:rsid w:val="000F79FD"/>
    <w:rsid w:val="00100331"/>
    <w:rsid w:val="00101255"/>
    <w:rsid w:val="001014D2"/>
    <w:rsid w:val="001014F7"/>
    <w:rsid w:val="001016BB"/>
    <w:rsid w:val="0010251A"/>
    <w:rsid w:val="00102768"/>
    <w:rsid w:val="00102BC3"/>
    <w:rsid w:val="00102EF2"/>
    <w:rsid w:val="00103458"/>
    <w:rsid w:val="001037BD"/>
    <w:rsid w:val="0010425A"/>
    <w:rsid w:val="001047CB"/>
    <w:rsid w:val="00104AFF"/>
    <w:rsid w:val="00104E14"/>
    <w:rsid w:val="0010520D"/>
    <w:rsid w:val="001053EE"/>
    <w:rsid w:val="00105629"/>
    <w:rsid w:val="0010574F"/>
    <w:rsid w:val="00105996"/>
    <w:rsid w:val="001059FC"/>
    <w:rsid w:val="00105A06"/>
    <w:rsid w:val="00105F3E"/>
    <w:rsid w:val="001066F6"/>
    <w:rsid w:val="001078F4"/>
    <w:rsid w:val="001105FF"/>
    <w:rsid w:val="00110744"/>
    <w:rsid w:val="00110797"/>
    <w:rsid w:val="00110E04"/>
    <w:rsid w:val="0011170E"/>
    <w:rsid w:val="00111849"/>
    <w:rsid w:val="00111A34"/>
    <w:rsid w:val="00111ECD"/>
    <w:rsid w:val="001121DD"/>
    <w:rsid w:val="00112D31"/>
    <w:rsid w:val="00112DBF"/>
    <w:rsid w:val="00113646"/>
    <w:rsid w:val="00113CD1"/>
    <w:rsid w:val="00114359"/>
    <w:rsid w:val="0011487E"/>
    <w:rsid w:val="0011492A"/>
    <w:rsid w:val="00115093"/>
    <w:rsid w:val="00115417"/>
    <w:rsid w:val="001161CA"/>
    <w:rsid w:val="00116258"/>
    <w:rsid w:val="00116494"/>
    <w:rsid w:val="001166D3"/>
    <w:rsid w:val="001167AE"/>
    <w:rsid w:val="001202C5"/>
    <w:rsid w:val="0012077F"/>
    <w:rsid w:val="00120813"/>
    <w:rsid w:val="0012099E"/>
    <w:rsid w:val="00120CE3"/>
    <w:rsid w:val="00120E60"/>
    <w:rsid w:val="0012130E"/>
    <w:rsid w:val="001213B0"/>
    <w:rsid w:val="00121741"/>
    <w:rsid w:val="00121832"/>
    <w:rsid w:val="00122050"/>
    <w:rsid w:val="00122232"/>
    <w:rsid w:val="0012235C"/>
    <w:rsid w:val="00122857"/>
    <w:rsid w:val="00122A75"/>
    <w:rsid w:val="00123529"/>
    <w:rsid w:val="001241D1"/>
    <w:rsid w:val="00124271"/>
    <w:rsid w:val="00124457"/>
    <w:rsid w:val="00124985"/>
    <w:rsid w:val="00125609"/>
    <w:rsid w:val="001257A9"/>
    <w:rsid w:val="00126655"/>
    <w:rsid w:val="00126707"/>
    <w:rsid w:val="0012679D"/>
    <w:rsid w:val="001269E0"/>
    <w:rsid w:val="001270F4"/>
    <w:rsid w:val="001274D7"/>
    <w:rsid w:val="00127514"/>
    <w:rsid w:val="001279A3"/>
    <w:rsid w:val="00130992"/>
    <w:rsid w:val="00130D23"/>
    <w:rsid w:val="001311C9"/>
    <w:rsid w:val="00131335"/>
    <w:rsid w:val="00131627"/>
    <w:rsid w:val="001318CD"/>
    <w:rsid w:val="0013190A"/>
    <w:rsid w:val="00131955"/>
    <w:rsid w:val="00131C94"/>
    <w:rsid w:val="00131DE6"/>
    <w:rsid w:val="001323E6"/>
    <w:rsid w:val="001326D3"/>
    <w:rsid w:val="001326DF"/>
    <w:rsid w:val="001329EC"/>
    <w:rsid w:val="00132A53"/>
    <w:rsid w:val="00132A5F"/>
    <w:rsid w:val="00132AD8"/>
    <w:rsid w:val="00132CCE"/>
    <w:rsid w:val="00133BBE"/>
    <w:rsid w:val="00133D01"/>
    <w:rsid w:val="001342A2"/>
    <w:rsid w:val="00134510"/>
    <w:rsid w:val="001358D6"/>
    <w:rsid w:val="00136073"/>
    <w:rsid w:val="00136198"/>
    <w:rsid w:val="001361F7"/>
    <w:rsid w:val="00136606"/>
    <w:rsid w:val="0013663C"/>
    <w:rsid w:val="001367BA"/>
    <w:rsid w:val="00136806"/>
    <w:rsid w:val="001369A6"/>
    <w:rsid w:val="00136BD6"/>
    <w:rsid w:val="00136DBC"/>
    <w:rsid w:val="00136F77"/>
    <w:rsid w:val="001370A8"/>
    <w:rsid w:val="00137856"/>
    <w:rsid w:val="00137B4E"/>
    <w:rsid w:val="00137BD8"/>
    <w:rsid w:val="00140291"/>
    <w:rsid w:val="00140D22"/>
    <w:rsid w:val="0014229D"/>
    <w:rsid w:val="001422D4"/>
    <w:rsid w:val="0014235F"/>
    <w:rsid w:val="0014236F"/>
    <w:rsid w:val="001428FA"/>
    <w:rsid w:val="00142A87"/>
    <w:rsid w:val="001442C2"/>
    <w:rsid w:val="001449E1"/>
    <w:rsid w:val="00144D5F"/>
    <w:rsid w:val="00144DD9"/>
    <w:rsid w:val="001455BA"/>
    <w:rsid w:val="00145DDE"/>
    <w:rsid w:val="0014621F"/>
    <w:rsid w:val="0014647C"/>
    <w:rsid w:val="00146907"/>
    <w:rsid w:val="00146E85"/>
    <w:rsid w:val="00147916"/>
    <w:rsid w:val="0014795D"/>
    <w:rsid w:val="001479AA"/>
    <w:rsid w:val="00147F00"/>
    <w:rsid w:val="00150146"/>
    <w:rsid w:val="001502FF"/>
    <w:rsid w:val="00150564"/>
    <w:rsid w:val="001506A7"/>
    <w:rsid w:val="0015087C"/>
    <w:rsid w:val="00150882"/>
    <w:rsid w:val="00150A4A"/>
    <w:rsid w:val="00150FFB"/>
    <w:rsid w:val="001518B5"/>
    <w:rsid w:val="00151BBA"/>
    <w:rsid w:val="0015252D"/>
    <w:rsid w:val="00152656"/>
    <w:rsid w:val="00152C00"/>
    <w:rsid w:val="00152C2B"/>
    <w:rsid w:val="00152E98"/>
    <w:rsid w:val="00153084"/>
    <w:rsid w:val="00153A54"/>
    <w:rsid w:val="00154072"/>
    <w:rsid w:val="00154264"/>
    <w:rsid w:val="00154304"/>
    <w:rsid w:val="001546EA"/>
    <w:rsid w:val="0015477A"/>
    <w:rsid w:val="00154902"/>
    <w:rsid w:val="00154951"/>
    <w:rsid w:val="00154F0A"/>
    <w:rsid w:val="001551DA"/>
    <w:rsid w:val="001559DA"/>
    <w:rsid w:val="00156891"/>
    <w:rsid w:val="00156BA3"/>
    <w:rsid w:val="00157320"/>
    <w:rsid w:val="001579B9"/>
    <w:rsid w:val="001602EB"/>
    <w:rsid w:val="0016080B"/>
    <w:rsid w:val="00160853"/>
    <w:rsid w:val="00160F65"/>
    <w:rsid w:val="001610EB"/>
    <w:rsid w:val="00161216"/>
    <w:rsid w:val="001614D4"/>
    <w:rsid w:val="00161BB8"/>
    <w:rsid w:val="00161C1F"/>
    <w:rsid w:val="00161C2F"/>
    <w:rsid w:val="00161F11"/>
    <w:rsid w:val="001620B6"/>
    <w:rsid w:val="001622BA"/>
    <w:rsid w:val="00162664"/>
    <w:rsid w:val="00163194"/>
    <w:rsid w:val="001639B6"/>
    <w:rsid w:val="00163DB9"/>
    <w:rsid w:val="00163DD8"/>
    <w:rsid w:val="00164F8F"/>
    <w:rsid w:val="00165130"/>
    <w:rsid w:val="0016529F"/>
    <w:rsid w:val="001658F5"/>
    <w:rsid w:val="00165F38"/>
    <w:rsid w:val="001661B8"/>
    <w:rsid w:val="00166237"/>
    <w:rsid w:val="00166385"/>
    <w:rsid w:val="0016644D"/>
    <w:rsid w:val="0016655F"/>
    <w:rsid w:val="00166EE6"/>
    <w:rsid w:val="001672AF"/>
    <w:rsid w:val="00167460"/>
    <w:rsid w:val="00170377"/>
    <w:rsid w:val="001706B2"/>
    <w:rsid w:val="00170A14"/>
    <w:rsid w:val="00170B4C"/>
    <w:rsid w:val="0017112B"/>
    <w:rsid w:val="00171185"/>
    <w:rsid w:val="00171C71"/>
    <w:rsid w:val="001726CF"/>
    <w:rsid w:val="00172A27"/>
    <w:rsid w:val="00172A39"/>
    <w:rsid w:val="00172BAF"/>
    <w:rsid w:val="00172D05"/>
    <w:rsid w:val="00172EC0"/>
    <w:rsid w:val="00173191"/>
    <w:rsid w:val="00173686"/>
    <w:rsid w:val="001737FE"/>
    <w:rsid w:val="00173F0C"/>
    <w:rsid w:val="0017426E"/>
    <w:rsid w:val="00175014"/>
    <w:rsid w:val="001751EE"/>
    <w:rsid w:val="001753D1"/>
    <w:rsid w:val="00175B11"/>
    <w:rsid w:val="00175B5B"/>
    <w:rsid w:val="00176AFA"/>
    <w:rsid w:val="00176C25"/>
    <w:rsid w:val="00176E50"/>
    <w:rsid w:val="0017723E"/>
    <w:rsid w:val="001775DA"/>
    <w:rsid w:val="00177935"/>
    <w:rsid w:val="00177AD0"/>
    <w:rsid w:val="00181019"/>
    <w:rsid w:val="00181135"/>
    <w:rsid w:val="001813A3"/>
    <w:rsid w:val="00181C0B"/>
    <w:rsid w:val="00181EF7"/>
    <w:rsid w:val="001820BF"/>
    <w:rsid w:val="00182382"/>
    <w:rsid w:val="00182DF8"/>
    <w:rsid w:val="0018502B"/>
    <w:rsid w:val="00186403"/>
    <w:rsid w:val="00186455"/>
    <w:rsid w:val="00186DC9"/>
    <w:rsid w:val="0018707E"/>
    <w:rsid w:val="001872C9"/>
    <w:rsid w:val="00187892"/>
    <w:rsid w:val="00187DFB"/>
    <w:rsid w:val="00190463"/>
    <w:rsid w:val="00191435"/>
    <w:rsid w:val="00192213"/>
    <w:rsid w:val="001927A2"/>
    <w:rsid w:val="00192FED"/>
    <w:rsid w:val="00192FF5"/>
    <w:rsid w:val="0019335B"/>
    <w:rsid w:val="001938DB"/>
    <w:rsid w:val="001940F4"/>
    <w:rsid w:val="0019423A"/>
    <w:rsid w:val="00194FA4"/>
    <w:rsid w:val="00195203"/>
    <w:rsid w:val="00195234"/>
    <w:rsid w:val="00195384"/>
    <w:rsid w:val="0019557A"/>
    <w:rsid w:val="00195648"/>
    <w:rsid w:val="001959DC"/>
    <w:rsid w:val="00195A29"/>
    <w:rsid w:val="00195F44"/>
    <w:rsid w:val="00195FC6"/>
    <w:rsid w:val="00196019"/>
    <w:rsid w:val="001963F9"/>
    <w:rsid w:val="00196B1D"/>
    <w:rsid w:val="00196C83"/>
    <w:rsid w:val="00196E92"/>
    <w:rsid w:val="00197C3A"/>
    <w:rsid w:val="001A0896"/>
    <w:rsid w:val="001A0FF1"/>
    <w:rsid w:val="001A11A2"/>
    <w:rsid w:val="001A2185"/>
    <w:rsid w:val="001A2679"/>
    <w:rsid w:val="001A315B"/>
    <w:rsid w:val="001A334F"/>
    <w:rsid w:val="001A3856"/>
    <w:rsid w:val="001A3954"/>
    <w:rsid w:val="001A3F6D"/>
    <w:rsid w:val="001A4C94"/>
    <w:rsid w:val="001A4F40"/>
    <w:rsid w:val="001A56FD"/>
    <w:rsid w:val="001A5923"/>
    <w:rsid w:val="001A5DA1"/>
    <w:rsid w:val="001A6A4C"/>
    <w:rsid w:val="001A7328"/>
    <w:rsid w:val="001A775C"/>
    <w:rsid w:val="001A7CBA"/>
    <w:rsid w:val="001B0DF5"/>
    <w:rsid w:val="001B16E6"/>
    <w:rsid w:val="001B1736"/>
    <w:rsid w:val="001B1AE6"/>
    <w:rsid w:val="001B1F0B"/>
    <w:rsid w:val="001B2576"/>
    <w:rsid w:val="001B2E4E"/>
    <w:rsid w:val="001B32D3"/>
    <w:rsid w:val="001B32E4"/>
    <w:rsid w:val="001B3778"/>
    <w:rsid w:val="001B3CB6"/>
    <w:rsid w:val="001B3E30"/>
    <w:rsid w:val="001B43A2"/>
    <w:rsid w:val="001B4634"/>
    <w:rsid w:val="001B4D03"/>
    <w:rsid w:val="001B4ED3"/>
    <w:rsid w:val="001B5091"/>
    <w:rsid w:val="001B50CC"/>
    <w:rsid w:val="001B5355"/>
    <w:rsid w:val="001B5426"/>
    <w:rsid w:val="001B593D"/>
    <w:rsid w:val="001B6049"/>
    <w:rsid w:val="001B60D4"/>
    <w:rsid w:val="001B618E"/>
    <w:rsid w:val="001B6482"/>
    <w:rsid w:val="001B6F4A"/>
    <w:rsid w:val="001B7014"/>
    <w:rsid w:val="001B739D"/>
    <w:rsid w:val="001B7432"/>
    <w:rsid w:val="001B7C32"/>
    <w:rsid w:val="001B7CBF"/>
    <w:rsid w:val="001C0476"/>
    <w:rsid w:val="001C0846"/>
    <w:rsid w:val="001C148A"/>
    <w:rsid w:val="001C15DB"/>
    <w:rsid w:val="001C17AC"/>
    <w:rsid w:val="001C1814"/>
    <w:rsid w:val="001C1B36"/>
    <w:rsid w:val="001C2831"/>
    <w:rsid w:val="001C3D5E"/>
    <w:rsid w:val="001C3D80"/>
    <w:rsid w:val="001C4222"/>
    <w:rsid w:val="001C4361"/>
    <w:rsid w:val="001C4AA8"/>
    <w:rsid w:val="001C51A3"/>
    <w:rsid w:val="001C5358"/>
    <w:rsid w:val="001C56D1"/>
    <w:rsid w:val="001C5A59"/>
    <w:rsid w:val="001C61E9"/>
    <w:rsid w:val="001C6F0D"/>
    <w:rsid w:val="001C7325"/>
    <w:rsid w:val="001C7A8C"/>
    <w:rsid w:val="001D0B07"/>
    <w:rsid w:val="001D0D82"/>
    <w:rsid w:val="001D0F05"/>
    <w:rsid w:val="001D151F"/>
    <w:rsid w:val="001D15D9"/>
    <w:rsid w:val="001D1912"/>
    <w:rsid w:val="001D1DD7"/>
    <w:rsid w:val="001D23EF"/>
    <w:rsid w:val="001D2608"/>
    <w:rsid w:val="001D273D"/>
    <w:rsid w:val="001D285A"/>
    <w:rsid w:val="001D3534"/>
    <w:rsid w:val="001D49FD"/>
    <w:rsid w:val="001D4EB1"/>
    <w:rsid w:val="001D537F"/>
    <w:rsid w:val="001D565B"/>
    <w:rsid w:val="001D6B8D"/>
    <w:rsid w:val="001D6D80"/>
    <w:rsid w:val="001D723E"/>
    <w:rsid w:val="001D7681"/>
    <w:rsid w:val="001E0531"/>
    <w:rsid w:val="001E131D"/>
    <w:rsid w:val="001E15B4"/>
    <w:rsid w:val="001E1FA3"/>
    <w:rsid w:val="001E21AC"/>
    <w:rsid w:val="001E24A4"/>
    <w:rsid w:val="001E28CC"/>
    <w:rsid w:val="001E28E4"/>
    <w:rsid w:val="001E290A"/>
    <w:rsid w:val="001E2DA9"/>
    <w:rsid w:val="001E321D"/>
    <w:rsid w:val="001E38B1"/>
    <w:rsid w:val="001E3A2B"/>
    <w:rsid w:val="001E478C"/>
    <w:rsid w:val="001E4C00"/>
    <w:rsid w:val="001E4D12"/>
    <w:rsid w:val="001E4D56"/>
    <w:rsid w:val="001E4DB4"/>
    <w:rsid w:val="001E5559"/>
    <w:rsid w:val="001E5BBC"/>
    <w:rsid w:val="001E62C7"/>
    <w:rsid w:val="001E6542"/>
    <w:rsid w:val="001E66CC"/>
    <w:rsid w:val="001E69FA"/>
    <w:rsid w:val="001E72E0"/>
    <w:rsid w:val="001E7739"/>
    <w:rsid w:val="001E7AB5"/>
    <w:rsid w:val="001F0064"/>
    <w:rsid w:val="001F16DF"/>
    <w:rsid w:val="001F193B"/>
    <w:rsid w:val="001F1960"/>
    <w:rsid w:val="001F1FBA"/>
    <w:rsid w:val="001F2022"/>
    <w:rsid w:val="001F2C58"/>
    <w:rsid w:val="001F3066"/>
    <w:rsid w:val="001F327B"/>
    <w:rsid w:val="001F32DA"/>
    <w:rsid w:val="001F3DAE"/>
    <w:rsid w:val="001F4A98"/>
    <w:rsid w:val="001F4F82"/>
    <w:rsid w:val="001F6159"/>
    <w:rsid w:val="001F6680"/>
    <w:rsid w:val="001F6C51"/>
    <w:rsid w:val="001F6DC6"/>
    <w:rsid w:val="001F6FB6"/>
    <w:rsid w:val="001F740D"/>
    <w:rsid w:val="001F792F"/>
    <w:rsid w:val="001F7AC9"/>
    <w:rsid w:val="001F7B9E"/>
    <w:rsid w:val="001F7BE1"/>
    <w:rsid w:val="001F7C97"/>
    <w:rsid w:val="00200A84"/>
    <w:rsid w:val="00200C40"/>
    <w:rsid w:val="00201229"/>
    <w:rsid w:val="002013AF"/>
    <w:rsid w:val="002014F7"/>
    <w:rsid w:val="00202359"/>
    <w:rsid w:val="002023BE"/>
    <w:rsid w:val="00202576"/>
    <w:rsid w:val="00202583"/>
    <w:rsid w:val="0020269C"/>
    <w:rsid w:val="00202B50"/>
    <w:rsid w:val="00202EF9"/>
    <w:rsid w:val="00203204"/>
    <w:rsid w:val="00203236"/>
    <w:rsid w:val="00203395"/>
    <w:rsid w:val="002036E8"/>
    <w:rsid w:val="00203939"/>
    <w:rsid w:val="00203B3F"/>
    <w:rsid w:val="002048AD"/>
    <w:rsid w:val="002051F7"/>
    <w:rsid w:val="0020531C"/>
    <w:rsid w:val="002056B0"/>
    <w:rsid w:val="00205AD3"/>
    <w:rsid w:val="00205B53"/>
    <w:rsid w:val="002066C1"/>
    <w:rsid w:val="002067D2"/>
    <w:rsid w:val="00206D59"/>
    <w:rsid w:val="00206EF3"/>
    <w:rsid w:val="0020708A"/>
    <w:rsid w:val="00207402"/>
    <w:rsid w:val="00207435"/>
    <w:rsid w:val="00207642"/>
    <w:rsid w:val="00207AAC"/>
    <w:rsid w:val="00207F6A"/>
    <w:rsid w:val="00210191"/>
    <w:rsid w:val="00210256"/>
    <w:rsid w:val="00210394"/>
    <w:rsid w:val="0021051F"/>
    <w:rsid w:val="0021076E"/>
    <w:rsid w:val="00211511"/>
    <w:rsid w:val="0021206E"/>
    <w:rsid w:val="002127B9"/>
    <w:rsid w:val="00212B08"/>
    <w:rsid w:val="00212B38"/>
    <w:rsid w:val="00213289"/>
    <w:rsid w:val="00213825"/>
    <w:rsid w:val="00213CEF"/>
    <w:rsid w:val="00214189"/>
    <w:rsid w:val="0021432D"/>
    <w:rsid w:val="00214532"/>
    <w:rsid w:val="00214ADD"/>
    <w:rsid w:val="0021525B"/>
    <w:rsid w:val="00216356"/>
    <w:rsid w:val="002164F1"/>
    <w:rsid w:val="00216A00"/>
    <w:rsid w:val="00216B19"/>
    <w:rsid w:val="00216CCC"/>
    <w:rsid w:val="00216E16"/>
    <w:rsid w:val="0021738B"/>
    <w:rsid w:val="00220082"/>
    <w:rsid w:val="002203BD"/>
    <w:rsid w:val="00220517"/>
    <w:rsid w:val="00220776"/>
    <w:rsid w:val="002216CC"/>
    <w:rsid w:val="00221ED0"/>
    <w:rsid w:val="002221C3"/>
    <w:rsid w:val="0022299A"/>
    <w:rsid w:val="00222A0B"/>
    <w:rsid w:val="00222B91"/>
    <w:rsid w:val="00222D7D"/>
    <w:rsid w:val="00222DE4"/>
    <w:rsid w:val="002230FD"/>
    <w:rsid w:val="002232B3"/>
    <w:rsid w:val="00223664"/>
    <w:rsid w:val="0022401E"/>
    <w:rsid w:val="00224756"/>
    <w:rsid w:val="00224878"/>
    <w:rsid w:val="0022514D"/>
    <w:rsid w:val="00225CEE"/>
    <w:rsid w:val="00225E3F"/>
    <w:rsid w:val="00226447"/>
    <w:rsid w:val="002266DB"/>
    <w:rsid w:val="00226894"/>
    <w:rsid w:val="002268B0"/>
    <w:rsid w:val="002272F5"/>
    <w:rsid w:val="00227577"/>
    <w:rsid w:val="002277E9"/>
    <w:rsid w:val="00230153"/>
    <w:rsid w:val="002303A6"/>
    <w:rsid w:val="00230894"/>
    <w:rsid w:val="002308E9"/>
    <w:rsid w:val="00231B36"/>
    <w:rsid w:val="00231F9E"/>
    <w:rsid w:val="00232498"/>
    <w:rsid w:val="0023254E"/>
    <w:rsid w:val="00232918"/>
    <w:rsid w:val="00232955"/>
    <w:rsid w:val="0023350C"/>
    <w:rsid w:val="00233698"/>
    <w:rsid w:val="00233E70"/>
    <w:rsid w:val="00234281"/>
    <w:rsid w:val="00234DD6"/>
    <w:rsid w:val="00234FD3"/>
    <w:rsid w:val="00236382"/>
    <w:rsid w:val="00236B90"/>
    <w:rsid w:val="00236C21"/>
    <w:rsid w:val="002371BF"/>
    <w:rsid w:val="002371E1"/>
    <w:rsid w:val="00237A87"/>
    <w:rsid w:val="00240262"/>
    <w:rsid w:val="002404C3"/>
    <w:rsid w:val="00241129"/>
    <w:rsid w:val="002411AE"/>
    <w:rsid w:val="00241205"/>
    <w:rsid w:val="00241731"/>
    <w:rsid w:val="00241840"/>
    <w:rsid w:val="00241C36"/>
    <w:rsid w:val="002427EB"/>
    <w:rsid w:val="002427F0"/>
    <w:rsid w:val="002428BD"/>
    <w:rsid w:val="00242D15"/>
    <w:rsid w:val="00242E09"/>
    <w:rsid w:val="002432B7"/>
    <w:rsid w:val="002432E9"/>
    <w:rsid w:val="002440B2"/>
    <w:rsid w:val="002445FE"/>
    <w:rsid w:val="002451B3"/>
    <w:rsid w:val="002458CE"/>
    <w:rsid w:val="002459C5"/>
    <w:rsid w:val="00245DE9"/>
    <w:rsid w:val="00245E81"/>
    <w:rsid w:val="00245F09"/>
    <w:rsid w:val="00246513"/>
    <w:rsid w:val="00246851"/>
    <w:rsid w:val="00246B1D"/>
    <w:rsid w:val="00246E71"/>
    <w:rsid w:val="00246F16"/>
    <w:rsid w:val="0024705A"/>
    <w:rsid w:val="002477AE"/>
    <w:rsid w:val="00247BDE"/>
    <w:rsid w:val="00247D10"/>
    <w:rsid w:val="00247D4D"/>
    <w:rsid w:val="002504FC"/>
    <w:rsid w:val="00250B11"/>
    <w:rsid w:val="00250D82"/>
    <w:rsid w:val="00251CC2"/>
    <w:rsid w:val="00251EB3"/>
    <w:rsid w:val="00251EE5"/>
    <w:rsid w:val="00252136"/>
    <w:rsid w:val="0025329B"/>
    <w:rsid w:val="00253582"/>
    <w:rsid w:val="0025362C"/>
    <w:rsid w:val="002538BA"/>
    <w:rsid w:val="00253C3E"/>
    <w:rsid w:val="00253EC4"/>
    <w:rsid w:val="0025418A"/>
    <w:rsid w:val="00254240"/>
    <w:rsid w:val="0025425A"/>
    <w:rsid w:val="0025531B"/>
    <w:rsid w:val="00255536"/>
    <w:rsid w:val="002557BB"/>
    <w:rsid w:val="002558AC"/>
    <w:rsid w:val="00255BC2"/>
    <w:rsid w:val="00255EFE"/>
    <w:rsid w:val="002564CF"/>
    <w:rsid w:val="00256539"/>
    <w:rsid w:val="00256DEA"/>
    <w:rsid w:val="00257117"/>
    <w:rsid w:val="00257923"/>
    <w:rsid w:val="00257C49"/>
    <w:rsid w:val="002603B3"/>
    <w:rsid w:val="0026072F"/>
    <w:rsid w:val="00260952"/>
    <w:rsid w:val="00260B2B"/>
    <w:rsid w:val="00260C11"/>
    <w:rsid w:val="002610D7"/>
    <w:rsid w:val="00261192"/>
    <w:rsid w:val="00261A11"/>
    <w:rsid w:val="00261CB5"/>
    <w:rsid w:val="00261D8A"/>
    <w:rsid w:val="002625F2"/>
    <w:rsid w:val="00262CA3"/>
    <w:rsid w:val="00262D43"/>
    <w:rsid w:val="00263413"/>
    <w:rsid w:val="00263AEC"/>
    <w:rsid w:val="00263E3B"/>
    <w:rsid w:val="0026408F"/>
    <w:rsid w:val="0026431A"/>
    <w:rsid w:val="002644A4"/>
    <w:rsid w:val="00264C8F"/>
    <w:rsid w:val="00265066"/>
    <w:rsid w:val="00265548"/>
    <w:rsid w:val="00265C93"/>
    <w:rsid w:val="00266300"/>
    <w:rsid w:val="0026641E"/>
    <w:rsid w:val="00266678"/>
    <w:rsid w:val="002669B2"/>
    <w:rsid w:val="00266EE2"/>
    <w:rsid w:val="002678CA"/>
    <w:rsid w:val="00267BBD"/>
    <w:rsid w:val="00267EC5"/>
    <w:rsid w:val="00267F3E"/>
    <w:rsid w:val="0027038F"/>
    <w:rsid w:val="00271150"/>
    <w:rsid w:val="00272EB3"/>
    <w:rsid w:val="00273328"/>
    <w:rsid w:val="0027393F"/>
    <w:rsid w:val="0027447A"/>
    <w:rsid w:val="002747CC"/>
    <w:rsid w:val="00274830"/>
    <w:rsid w:val="00274DF9"/>
    <w:rsid w:val="00275170"/>
    <w:rsid w:val="00275D77"/>
    <w:rsid w:val="0027602C"/>
    <w:rsid w:val="002760F9"/>
    <w:rsid w:val="00276A43"/>
    <w:rsid w:val="00276D2F"/>
    <w:rsid w:val="00276D5E"/>
    <w:rsid w:val="00276FBF"/>
    <w:rsid w:val="002775C7"/>
    <w:rsid w:val="002778F2"/>
    <w:rsid w:val="00277F52"/>
    <w:rsid w:val="00277F90"/>
    <w:rsid w:val="002809A3"/>
    <w:rsid w:val="00280E91"/>
    <w:rsid w:val="00281979"/>
    <w:rsid w:val="00281E85"/>
    <w:rsid w:val="0028200C"/>
    <w:rsid w:val="00282011"/>
    <w:rsid w:val="00282533"/>
    <w:rsid w:val="00282622"/>
    <w:rsid w:val="002837F8"/>
    <w:rsid w:val="00283A81"/>
    <w:rsid w:val="00283ACF"/>
    <w:rsid w:val="00283C99"/>
    <w:rsid w:val="00283D11"/>
    <w:rsid w:val="0028473D"/>
    <w:rsid w:val="00284850"/>
    <w:rsid w:val="00284CEE"/>
    <w:rsid w:val="00284D22"/>
    <w:rsid w:val="00284F33"/>
    <w:rsid w:val="002851E8"/>
    <w:rsid w:val="0028529C"/>
    <w:rsid w:val="00285326"/>
    <w:rsid w:val="0028572F"/>
    <w:rsid w:val="00285DE8"/>
    <w:rsid w:val="00287067"/>
    <w:rsid w:val="00290337"/>
    <w:rsid w:val="002904A9"/>
    <w:rsid w:val="00290891"/>
    <w:rsid w:val="00291DA9"/>
    <w:rsid w:val="00292661"/>
    <w:rsid w:val="00292773"/>
    <w:rsid w:val="002927AC"/>
    <w:rsid w:val="002928D1"/>
    <w:rsid w:val="00292D88"/>
    <w:rsid w:val="00293689"/>
    <w:rsid w:val="00294241"/>
    <w:rsid w:val="002943E7"/>
    <w:rsid w:val="0029469F"/>
    <w:rsid w:val="0029476B"/>
    <w:rsid w:val="00295405"/>
    <w:rsid w:val="002954FB"/>
    <w:rsid w:val="00295E06"/>
    <w:rsid w:val="0029618D"/>
    <w:rsid w:val="002965BA"/>
    <w:rsid w:val="00296814"/>
    <w:rsid w:val="00296D48"/>
    <w:rsid w:val="00296EB8"/>
    <w:rsid w:val="00296F5F"/>
    <w:rsid w:val="0029716C"/>
    <w:rsid w:val="002976F2"/>
    <w:rsid w:val="00297A95"/>
    <w:rsid w:val="002A02A0"/>
    <w:rsid w:val="002A07C4"/>
    <w:rsid w:val="002A0DD4"/>
    <w:rsid w:val="002A2381"/>
    <w:rsid w:val="002A24CF"/>
    <w:rsid w:val="002A2537"/>
    <w:rsid w:val="002A2AB8"/>
    <w:rsid w:val="002A2B8E"/>
    <w:rsid w:val="002A3789"/>
    <w:rsid w:val="002A5126"/>
    <w:rsid w:val="002A5948"/>
    <w:rsid w:val="002A6115"/>
    <w:rsid w:val="002A639F"/>
    <w:rsid w:val="002A64F2"/>
    <w:rsid w:val="002A6590"/>
    <w:rsid w:val="002A7478"/>
    <w:rsid w:val="002A7678"/>
    <w:rsid w:val="002A7B26"/>
    <w:rsid w:val="002B01AD"/>
    <w:rsid w:val="002B037F"/>
    <w:rsid w:val="002B047F"/>
    <w:rsid w:val="002B1824"/>
    <w:rsid w:val="002B182C"/>
    <w:rsid w:val="002B1845"/>
    <w:rsid w:val="002B1A9F"/>
    <w:rsid w:val="002B210C"/>
    <w:rsid w:val="002B2402"/>
    <w:rsid w:val="002B2847"/>
    <w:rsid w:val="002B2C8F"/>
    <w:rsid w:val="002B2D78"/>
    <w:rsid w:val="002B32B6"/>
    <w:rsid w:val="002B32C9"/>
    <w:rsid w:val="002B35D8"/>
    <w:rsid w:val="002B3736"/>
    <w:rsid w:val="002B4054"/>
    <w:rsid w:val="002B41A8"/>
    <w:rsid w:val="002B427C"/>
    <w:rsid w:val="002B46A0"/>
    <w:rsid w:val="002B46FF"/>
    <w:rsid w:val="002B497D"/>
    <w:rsid w:val="002B4BBC"/>
    <w:rsid w:val="002B4D0E"/>
    <w:rsid w:val="002B4D3C"/>
    <w:rsid w:val="002B542A"/>
    <w:rsid w:val="002B5495"/>
    <w:rsid w:val="002B54C5"/>
    <w:rsid w:val="002B55E5"/>
    <w:rsid w:val="002B61C9"/>
    <w:rsid w:val="002B653E"/>
    <w:rsid w:val="002B6703"/>
    <w:rsid w:val="002B6D69"/>
    <w:rsid w:val="002B6E5B"/>
    <w:rsid w:val="002B6F67"/>
    <w:rsid w:val="002B7411"/>
    <w:rsid w:val="002B7F1B"/>
    <w:rsid w:val="002C0083"/>
    <w:rsid w:val="002C0186"/>
    <w:rsid w:val="002C032E"/>
    <w:rsid w:val="002C081A"/>
    <w:rsid w:val="002C087B"/>
    <w:rsid w:val="002C108A"/>
    <w:rsid w:val="002C1553"/>
    <w:rsid w:val="002C2035"/>
    <w:rsid w:val="002C24C4"/>
    <w:rsid w:val="002C25D4"/>
    <w:rsid w:val="002C2CCD"/>
    <w:rsid w:val="002C2F7F"/>
    <w:rsid w:val="002C2FB4"/>
    <w:rsid w:val="002C2FD3"/>
    <w:rsid w:val="002C3683"/>
    <w:rsid w:val="002C4AFD"/>
    <w:rsid w:val="002C5516"/>
    <w:rsid w:val="002C5A3A"/>
    <w:rsid w:val="002C5D7E"/>
    <w:rsid w:val="002C6DC2"/>
    <w:rsid w:val="002C6DDA"/>
    <w:rsid w:val="002C713E"/>
    <w:rsid w:val="002C72FB"/>
    <w:rsid w:val="002C77B0"/>
    <w:rsid w:val="002D0068"/>
    <w:rsid w:val="002D0466"/>
    <w:rsid w:val="002D053D"/>
    <w:rsid w:val="002D0829"/>
    <w:rsid w:val="002D0B99"/>
    <w:rsid w:val="002D1600"/>
    <w:rsid w:val="002D1936"/>
    <w:rsid w:val="002D1CE8"/>
    <w:rsid w:val="002D1F76"/>
    <w:rsid w:val="002D22E4"/>
    <w:rsid w:val="002D2403"/>
    <w:rsid w:val="002D2D0D"/>
    <w:rsid w:val="002D2FB2"/>
    <w:rsid w:val="002D3066"/>
    <w:rsid w:val="002D32C1"/>
    <w:rsid w:val="002D34FE"/>
    <w:rsid w:val="002D35EA"/>
    <w:rsid w:val="002D3782"/>
    <w:rsid w:val="002D3B24"/>
    <w:rsid w:val="002D3D77"/>
    <w:rsid w:val="002D4837"/>
    <w:rsid w:val="002D48E6"/>
    <w:rsid w:val="002D5331"/>
    <w:rsid w:val="002D55BB"/>
    <w:rsid w:val="002D5B16"/>
    <w:rsid w:val="002D5BC9"/>
    <w:rsid w:val="002D5DDC"/>
    <w:rsid w:val="002D67F7"/>
    <w:rsid w:val="002D6DE0"/>
    <w:rsid w:val="002D7621"/>
    <w:rsid w:val="002D769A"/>
    <w:rsid w:val="002D7789"/>
    <w:rsid w:val="002D77B7"/>
    <w:rsid w:val="002D79D9"/>
    <w:rsid w:val="002D7CC4"/>
    <w:rsid w:val="002D7DBC"/>
    <w:rsid w:val="002E00DB"/>
    <w:rsid w:val="002E0A65"/>
    <w:rsid w:val="002E0C21"/>
    <w:rsid w:val="002E192A"/>
    <w:rsid w:val="002E2048"/>
    <w:rsid w:val="002E2471"/>
    <w:rsid w:val="002E2A52"/>
    <w:rsid w:val="002E2B84"/>
    <w:rsid w:val="002E300A"/>
    <w:rsid w:val="002E3543"/>
    <w:rsid w:val="002E3B82"/>
    <w:rsid w:val="002E3C95"/>
    <w:rsid w:val="002E40D7"/>
    <w:rsid w:val="002E4D81"/>
    <w:rsid w:val="002E4E88"/>
    <w:rsid w:val="002E5BC7"/>
    <w:rsid w:val="002E5F0D"/>
    <w:rsid w:val="002E6EE7"/>
    <w:rsid w:val="002E7655"/>
    <w:rsid w:val="002E7750"/>
    <w:rsid w:val="002E7964"/>
    <w:rsid w:val="002E79AB"/>
    <w:rsid w:val="002E7D40"/>
    <w:rsid w:val="002F0A52"/>
    <w:rsid w:val="002F0C6B"/>
    <w:rsid w:val="002F1686"/>
    <w:rsid w:val="002F1771"/>
    <w:rsid w:val="002F1CD0"/>
    <w:rsid w:val="002F1D5C"/>
    <w:rsid w:val="002F1D92"/>
    <w:rsid w:val="002F207F"/>
    <w:rsid w:val="002F23FA"/>
    <w:rsid w:val="002F249E"/>
    <w:rsid w:val="002F24AF"/>
    <w:rsid w:val="002F32ED"/>
    <w:rsid w:val="002F3799"/>
    <w:rsid w:val="002F41D5"/>
    <w:rsid w:val="002F43B6"/>
    <w:rsid w:val="002F49F9"/>
    <w:rsid w:val="002F4D5A"/>
    <w:rsid w:val="002F515D"/>
    <w:rsid w:val="002F5F68"/>
    <w:rsid w:val="002F6673"/>
    <w:rsid w:val="002F66DB"/>
    <w:rsid w:val="002F7155"/>
    <w:rsid w:val="002F7700"/>
    <w:rsid w:val="002F778A"/>
    <w:rsid w:val="002F7CCB"/>
    <w:rsid w:val="002F7EB8"/>
    <w:rsid w:val="0030086D"/>
    <w:rsid w:val="00300D86"/>
    <w:rsid w:val="00300E82"/>
    <w:rsid w:val="00301655"/>
    <w:rsid w:val="003017E1"/>
    <w:rsid w:val="003021BB"/>
    <w:rsid w:val="00302F6A"/>
    <w:rsid w:val="00303061"/>
    <w:rsid w:val="00303A66"/>
    <w:rsid w:val="00303D62"/>
    <w:rsid w:val="00304041"/>
    <w:rsid w:val="003040C0"/>
    <w:rsid w:val="003044AD"/>
    <w:rsid w:val="00304501"/>
    <w:rsid w:val="00304917"/>
    <w:rsid w:val="00305040"/>
    <w:rsid w:val="00305BB3"/>
    <w:rsid w:val="00305CC7"/>
    <w:rsid w:val="00305F62"/>
    <w:rsid w:val="0030688B"/>
    <w:rsid w:val="00306AAF"/>
    <w:rsid w:val="00306E35"/>
    <w:rsid w:val="003074FD"/>
    <w:rsid w:val="00307728"/>
    <w:rsid w:val="00307A2D"/>
    <w:rsid w:val="003100AB"/>
    <w:rsid w:val="00310204"/>
    <w:rsid w:val="00310272"/>
    <w:rsid w:val="00310D86"/>
    <w:rsid w:val="00310EC5"/>
    <w:rsid w:val="00310F34"/>
    <w:rsid w:val="0031233D"/>
    <w:rsid w:val="003126B1"/>
    <w:rsid w:val="00312AF6"/>
    <w:rsid w:val="00312CB7"/>
    <w:rsid w:val="00312E68"/>
    <w:rsid w:val="00313103"/>
    <w:rsid w:val="0031351A"/>
    <w:rsid w:val="0031460F"/>
    <w:rsid w:val="00314C8A"/>
    <w:rsid w:val="00314E33"/>
    <w:rsid w:val="00315595"/>
    <w:rsid w:val="00315F66"/>
    <w:rsid w:val="003161E5"/>
    <w:rsid w:val="00316884"/>
    <w:rsid w:val="00316C18"/>
    <w:rsid w:val="00317071"/>
    <w:rsid w:val="003170F2"/>
    <w:rsid w:val="003171A9"/>
    <w:rsid w:val="00317767"/>
    <w:rsid w:val="0032043F"/>
    <w:rsid w:val="003204DA"/>
    <w:rsid w:val="00320582"/>
    <w:rsid w:val="00321282"/>
    <w:rsid w:val="0032130E"/>
    <w:rsid w:val="0032187E"/>
    <w:rsid w:val="003218EA"/>
    <w:rsid w:val="00321F93"/>
    <w:rsid w:val="0032278A"/>
    <w:rsid w:val="0032279E"/>
    <w:rsid w:val="00322A25"/>
    <w:rsid w:val="00322E8B"/>
    <w:rsid w:val="0032318E"/>
    <w:rsid w:val="00323389"/>
    <w:rsid w:val="0032399E"/>
    <w:rsid w:val="00324067"/>
    <w:rsid w:val="003246F7"/>
    <w:rsid w:val="003248E7"/>
    <w:rsid w:val="00324925"/>
    <w:rsid w:val="00324A14"/>
    <w:rsid w:val="00325668"/>
    <w:rsid w:val="00325F1E"/>
    <w:rsid w:val="003262AB"/>
    <w:rsid w:val="0032659C"/>
    <w:rsid w:val="00326D28"/>
    <w:rsid w:val="00327292"/>
    <w:rsid w:val="003272FD"/>
    <w:rsid w:val="0032744E"/>
    <w:rsid w:val="00327480"/>
    <w:rsid w:val="003300E1"/>
    <w:rsid w:val="00330380"/>
    <w:rsid w:val="003303B7"/>
    <w:rsid w:val="00330A37"/>
    <w:rsid w:val="00330A59"/>
    <w:rsid w:val="00330B81"/>
    <w:rsid w:val="003311FC"/>
    <w:rsid w:val="00331300"/>
    <w:rsid w:val="00331820"/>
    <w:rsid w:val="00333A15"/>
    <w:rsid w:val="00333A6D"/>
    <w:rsid w:val="00333D8E"/>
    <w:rsid w:val="00333F1D"/>
    <w:rsid w:val="003341BB"/>
    <w:rsid w:val="00335387"/>
    <w:rsid w:val="00335776"/>
    <w:rsid w:val="00336075"/>
    <w:rsid w:val="00336787"/>
    <w:rsid w:val="003371DD"/>
    <w:rsid w:val="003374B9"/>
    <w:rsid w:val="003375AB"/>
    <w:rsid w:val="00337717"/>
    <w:rsid w:val="003378B1"/>
    <w:rsid w:val="003408E2"/>
    <w:rsid w:val="00340A5B"/>
    <w:rsid w:val="00340A83"/>
    <w:rsid w:val="00340D35"/>
    <w:rsid w:val="0034123C"/>
    <w:rsid w:val="003412BF"/>
    <w:rsid w:val="003415A2"/>
    <w:rsid w:val="0034168B"/>
    <w:rsid w:val="00341CF7"/>
    <w:rsid w:val="0034295D"/>
    <w:rsid w:val="0034312D"/>
    <w:rsid w:val="0034330F"/>
    <w:rsid w:val="00343669"/>
    <w:rsid w:val="00343C67"/>
    <w:rsid w:val="003440AE"/>
    <w:rsid w:val="0034413A"/>
    <w:rsid w:val="00344BA3"/>
    <w:rsid w:val="00344BDC"/>
    <w:rsid w:val="00344D5E"/>
    <w:rsid w:val="00344E8E"/>
    <w:rsid w:val="00345475"/>
    <w:rsid w:val="00346AE5"/>
    <w:rsid w:val="00346C56"/>
    <w:rsid w:val="00347782"/>
    <w:rsid w:val="00347D51"/>
    <w:rsid w:val="00347E11"/>
    <w:rsid w:val="00350268"/>
    <w:rsid w:val="00350594"/>
    <w:rsid w:val="00350B46"/>
    <w:rsid w:val="003518DC"/>
    <w:rsid w:val="00352012"/>
    <w:rsid w:val="00352542"/>
    <w:rsid w:val="00352668"/>
    <w:rsid w:val="00352677"/>
    <w:rsid w:val="0035326A"/>
    <w:rsid w:val="0035327A"/>
    <w:rsid w:val="003534CB"/>
    <w:rsid w:val="00353803"/>
    <w:rsid w:val="00353C29"/>
    <w:rsid w:val="00353C8B"/>
    <w:rsid w:val="00353D69"/>
    <w:rsid w:val="00353FC5"/>
    <w:rsid w:val="003541B5"/>
    <w:rsid w:val="003542FC"/>
    <w:rsid w:val="00354407"/>
    <w:rsid w:val="00354730"/>
    <w:rsid w:val="00354C88"/>
    <w:rsid w:val="0035537B"/>
    <w:rsid w:val="003555CF"/>
    <w:rsid w:val="00355B59"/>
    <w:rsid w:val="0035620E"/>
    <w:rsid w:val="003562FE"/>
    <w:rsid w:val="003564B6"/>
    <w:rsid w:val="0035669E"/>
    <w:rsid w:val="003574FA"/>
    <w:rsid w:val="00357C05"/>
    <w:rsid w:val="00357DE5"/>
    <w:rsid w:val="00360354"/>
    <w:rsid w:val="0036071E"/>
    <w:rsid w:val="00360720"/>
    <w:rsid w:val="00360FEF"/>
    <w:rsid w:val="00362D66"/>
    <w:rsid w:val="00363B12"/>
    <w:rsid w:val="003640DD"/>
    <w:rsid w:val="0036423C"/>
    <w:rsid w:val="003648BB"/>
    <w:rsid w:val="00364D2C"/>
    <w:rsid w:val="00364D59"/>
    <w:rsid w:val="003654BE"/>
    <w:rsid w:val="003654DD"/>
    <w:rsid w:val="00365B9B"/>
    <w:rsid w:val="00365D2E"/>
    <w:rsid w:val="00365DBB"/>
    <w:rsid w:val="00365DF5"/>
    <w:rsid w:val="003668A0"/>
    <w:rsid w:val="0036695E"/>
    <w:rsid w:val="00366EE1"/>
    <w:rsid w:val="003673E6"/>
    <w:rsid w:val="003675F0"/>
    <w:rsid w:val="003678EA"/>
    <w:rsid w:val="00367A90"/>
    <w:rsid w:val="00370372"/>
    <w:rsid w:val="003703EC"/>
    <w:rsid w:val="003706D5"/>
    <w:rsid w:val="00370769"/>
    <w:rsid w:val="00370963"/>
    <w:rsid w:val="00371009"/>
    <w:rsid w:val="00371252"/>
    <w:rsid w:val="0037191D"/>
    <w:rsid w:val="00371AED"/>
    <w:rsid w:val="00371BC4"/>
    <w:rsid w:val="00371EEB"/>
    <w:rsid w:val="003722E8"/>
    <w:rsid w:val="00372733"/>
    <w:rsid w:val="0037280D"/>
    <w:rsid w:val="003728E1"/>
    <w:rsid w:val="00372C4C"/>
    <w:rsid w:val="0037300F"/>
    <w:rsid w:val="00373198"/>
    <w:rsid w:val="00373B9D"/>
    <w:rsid w:val="0037445B"/>
    <w:rsid w:val="003745D0"/>
    <w:rsid w:val="0037468A"/>
    <w:rsid w:val="0037492D"/>
    <w:rsid w:val="00375613"/>
    <w:rsid w:val="00375B8A"/>
    <w:rsid w:val="00375D5B"/>
    <w:rsid w:val="00375E04"/>
    <w:rsid w:val="0037642E"/>
    <w:rsid w:val="00376AF3"/>
    <w:rsid w:val="00376CFA"/>
    <w:rsid w:val="00377D45"/>
    <w:rsid w:val="003801DC"/>
    <w:rsid w:val="00380E15"/>
    <w:rsid w:val="00380F51"/>
    <w:rsid w:val="003811BA"/>
    <w:rsid w:val="00381993"/>
    <w:rsid w:val="00381AC4"/>
    <w:rsid w:val="00381B3A"/>
    <w:rsid w:val="00381F75"/>
    <w:rsid w:val="0038248C"/>
    <w:rsid w:val="00382980"/>
    <w:rsid w:val="00382D1F"/>
    <w:rsid w:val="003832B6"/>
    <w:rsid w:val="00383E24"/>
    <w:rsid w:val="00383F72"/>
    <w:rsid w:val="003840B7"/>
    <w:rsid w:val="003844E0"/>
    <w:rsid w:val="00384837"/>
    <w:rsid w:val="003851A1"/>
    <w:rsid w:val="0038549F"/>
    <w:rsid w:val="003856C6"/>
    <w:rsid w:val="0038576D"/>
    <w:rsid w:val="00385BDE"/>
    <w:rsid w:val="00385DD1"/>
    <w:rsid w:val="00385E50"/>
    <w:rsid w:val="0038685F"/>
    <w:rsid w:val="00386B43"/>
    <w:rsid w:val="00386CBA"/>
    <w:rsid w:val="00386FC4"/>
    <w:rsid w:val="0038728C"/>
    <w:rsid w:val="00387677"/>
    <w:rsid w:val="00387F7C"/>
    <w:rsid w:val="00391901"/>
    <w:rsid w:val="00391AC1"/>
    <w:rsid w:val="00391B2B"/>
    <w:rsid w:val="00391B84"/>
    <w:rsid w:val="00391E1C"/>
    <w:rsid w:val="003923E6"/>
    <w:rsid w:val="003929A4"/>
    <w:rsid w:val="00393FE9"/>
    <w:rsid w:val="0039476B"/>
    <w:rsid w:val="003949BE"/>
    <w:rsid w:val="00394B29"/>
    <w:rsid w:val="00394E45"/>
    <w:rsid w:val="00395146"/>
    <w:rsid w:val="00395205"/>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1719"/>
    <w:rsid w:val="003A19D6"/>
    <w:rsid w:val="003A2CEE"/>
    <w:rsid w:val="003A2D4E"/>
    <w:rsid w:val="003A314E"/>
    <w:rsid w:val="003A3717"/>
    <w:rsid w:val="003A393F"/>
    <w:rsid w:val="003A3999"/>
    <w:rsid w:val="003A4462"/>
    <w:rsid w:val="003A4497"/>
    <w:rsid w:val="003A4663"/>
    <w:rsid w:val="003A4BFF"/>
    <w:rsid w:val="003A4F4E"/>
    <w:rsid w:val="003A5CFA"/>
    <w:rsid w:val="003A5D90"/>
    <w:rsid w:val="003A6084"/>
    <w:rsid w:val="003A62DA"/>
    <w:rsid w:val="003A6366"/>
    <w:rsid w:val="003A7A69"/>
    <w:rsid w:val="003A7B14"/>
    <w:rsid w:val="003A7B7B"/>
    <w:rsid w:val="003A7D2A"/>
    <w:rsid w:val="003A7D38"/>
    <w:rsid w:val="003A7ED5"/>
    <w:rsid w:val="003B08CD"/>
    <w:rsid w:val="003B0C92"/>
    <w:rsid w:val="003B0E1D"/>
    <w:rsid w:val="003B0F13"/>
    <w:rsid w:val="003B0F7B"/>
    <w:rsid w:val="003B13E9"/>
    <w:rsid w:val="003B14FD"/>
    <w:rsid w:val="003B1539"/>
    <w:rsid w:val="003B16D4"/>
    <w:rsid w:val="003B1BB7"/>
    <w:rsid w:val="003B1E0D"/>
    <w:rsid w:val="003B2427"/>
    <w:rsid w:val="003B28A8"/>
    <w:rsid w:val="003B2904"/>
    <w:rsid w:val="003B2D7D"/>
    <w:rsid w:val="003B2F6C"/>
    <w:rsid w:val="003B3324"/>
    <w:rsid w:val="003B3E12"/>
    <w:rsid w:val="003B4696"/>
    <w:rsid w:val="003B4859"/>
    <w:rsid w:val="003B4D81"/>
    <w:rsid w:val="003B4E65"/>
    <w:rsid w:val="003B4EB6"/>
    <w:rsid w:val="003B5177"/>
    <w:rsid w:val="003B5200"/>
    <w:rsid w:val="003B53E7"/>
    <w:rsid w:val="003B5482"/>
    <w:rsid w:val="003B5663"/>
    <w:rsid w:val="003B59DC"/>
    <w:rsid w:val="003B6031"/>
    <w:rsid w:val="003B6178"/>
    <w:rsid w:val="003B6BF1"/>
    <w:rsid w:val="003B6C19"/>
    <w:rsid w:val="003B6E81"/>
    <w:rsid w:val="003B7661"/>
    <w:rsid w:val="003B76F3"/>
    <w:rsid w:val="003B7E05"/>
    <w:rsid w:val="003C0456"/>
    <w:rsid w:val="003C052A"/>
    <w:rsid w:val="003C0AE9"/>
    <w:rsid w:val="003C131E"/>
    <w:rsid w:val="003C166B"/>
    <w:rsid w:val="003C19A5"/>
    <w:rsid w:val="003C1C85"/>
    <w:rsid w:val="003C1F69"/>
    <w:rsid w:val="003C2010"/>
    <w:rsid w:val="003C2323"/>
    <w:rsid w:val="003C2BA9"/>
    <w:rsid w:val="003C2C59"/>
    <w:rsid w:val="003C3895"/>
    <w:rsid w:val="003C3A2A"/>
    <w:rsid w:val="003C3CC7"/>
    <w:rsid w:val="003C3E7F"/>
    <w:rsid w:val="003C4482"/>
    <w:rsid w:val="003C504B"/>
    <w:rsid w:val="003C5260"/>
    <w:rsid w:val="003C5936"/>
    <w:rsid w:val="003C607D"/>
    <w:rsid w:val="003C612F"/>
    <w:rsid w:val="003C6468"/>
    <w:rsid w:val="003C676E"/>
    <w:rsid w:val="003C7B28"/>
    <w:rsid w:val="003D0AF6"/>
    <w:rsid w:val="003D0BFD"/>
    <w:rsid w:val="003D115F"/>
    <w:rsid w:val="003D11D9"/>
    <w:rsid w:val="003D1E5A"/>
    <w:rsid w:val="003D2939"/>
    <w:rsid w:val="003D2F40"/>
    <w:rsid w:val="003D33AE"/>
    <w:rsid w:val="003D3429"/>
    <w:rsid w:val="003D3990"/>
    <w:rsid w:val="003D3C6E"/>
    <w:rsid w:val="003D3FA7"/>
    <w:rsid w:val="003D42CB"/>
    <w:rsid w:val="003D43E2"/>
    <w:rsid w:val="003D4572"/>
    <w:rsid w:val="003D4B62"/>
    <w:rsid w:val="003D4E9A"/>
    <w:rsid w:val="003D51F4"/>
    <w:rsid w:val="003D5345"/>
    <w:rsid w:val="003D5811"/>
    <w:rsid w:val="003D58C5"/>
    <w:rsid w:val="003D6316"/>
    <w:rsid w:val="003D6638"/>
    <w:rsid w:val="003D7786"/>
    <w:rsid w:val="003D7FC4"/>
    <w:rsid w:val="003E0354"/>
    <w:rsid w:val="003E08DC"/>
    <w:rsid w:val="003E10A8"/>
    <w:rsid w:val="003E127A"/>
    <w:rsid w:val="003E184A"/>
    <w:rsid w:val="003E1887"/>
    <w:rsid w:val="003E18C9"/>
    <w:rsid w:val="003E19E2"/>
    <w:rsid w:val="003E1EF3"/>
    <w:rsid w:val="003E2538"/>
    <w:rsid w:val="003E2784"/>
    <w:rsid w:val="003E278F"/>
    <w:rsid w:val="003E2E55"/>
    <w:rsid w:val="003E2F58"/>
    <w:rsid w:val="003E311C"/>
    <w:rsid w:val="003E3A5D"/>
    <w:rsid w:val="003E3D4A"/>
    <w:rsid w:val="003E4296"/>
    <w:rsid w:val="003E43C8"/>
    <w:rsid w:val="003E4B5F"/>
    <w:rsid w:val="003E530F"/>
    <w:rsid w:val="003E5A33"/>
    <w:rsid w:val="003E65FD"/>
    <w:rsid w:val="003E69CF"/>
    <w:rsid w:val="003E6DA0"/>
    <w:rsid w:val="003E72DA"/>
    <w:rsid w:val="003E7C3C"/>
    <w:rsid w:val="003F031C"/>
    <w:rsid w:val="003F0EED"/>
    <w:rsid w:val="003F0FBA"/>
    <w:rsid w:val="003F1622"/>
    <w:rsid w:val="003F1AA3"/>
    <w:rsid w:val="003F25EF"/>
    <w:rsid w:val="003F2A3E"/>
    <w:rsid w:val="003F3277"/>
    <w:rsid w:val="003F33C5"/>
    <w:rsid w:val="003F3BE5"/>
    <w:rsid w:val="003F3EC5"/>
    <w:rsid w:val="003F49D2"/>
    <w:rsid w:val="003F4C79"/>
    <w:rsid w:val="003F4E06"/>
    <w:rsid w:val="003F4FD7"/>
    <w:rsid w:val="003F58F4"/>
    <w:rsid w:val="003F5990"/>
    <w:rsid w:val="003F5E3F"/>
    <w:rsid w:val="003F6152"/>
    <w:rsid w:val="003F67CB"/>
    <w:rsid w:val="003F759C"/>
    <w:rsid w:val="00400688"/>
    <w:rsid w:val="004018B0"/>
    <w:rsid w:val="00401CD0"/>
    <w:rsid w:val="00402608"/>
    <w:rsid w:val="00403542"/>
    <w:rsid w:val="004036AC"/>
    <w:rsid w:val="00403A15"/>
    <w:rsid w:val="00403AD6"/>
    <w:rsid w:val="004042E5"/>
    <w:rsid w:val="00405461"/>
    <w:rsid w:val="00405477"/>
    <w:rsid w:val="0040566B"/>
    <w:rsid w:val="004058B9"/>
    <w:rsid w:val="004067F1"/>
    <w:rsid w:val="0040689D"/>
    <w:rsid w:val="00406A50"/>
    <w:rsid w:val="00406C91"/>
    <w:rsid w:val="00407363"/>
    <w:rsid w:val="00410179"/>
    <w:rsid w:val="00410441"/>
    <w:rsid w:val="0041074C"/>
    <w:rsid w:val="0041078F"/>
    <w:rsid w:val="00410B78"/>
    <w:rsid w:val="0041102C"/>
    <w:rsid w:val="00411154"/>
    <w:rsid w:val="004114C9"/>
    <w:rsid w:val="00411D31"/>
    <w:rsid w:val="00412BDE"/>
    <w:rsid w:val="0041398B"/>
    <w:rsid w:val="00414601"/>
    <w:rsid w:val="004146E5"/>
    <w:rsid w:val="00414828"/>
    <w:rsid w:val="00414C5A"/>
    <w:rsid w:val="00414D14"/>
    <w:rsid w:val="00414DE0"/>
    <w:rsid w:val="004150FE"/>
    <w:rsid w:val="004158A0"/>
    <w:rsid w:val="00415D69"/>
    <w:rsid w:val="00415DEC"/>
    <w:rsid w:val="00415FAD"/>
    <w:rsid w:val="0041600F"/>
    <w:rsid w:val="0041619C"/>
    <w:rsid w:val="0041747C"/>
    <w:rsid w:val="00417701"/>
    <w:rsid w:val="00417C68"/>
    <w:rsid w:val="00417D7A"/>
    <w:rsid w:val="004203AA"/>
    <w:rsid w:val="00420948"/>
    <w:rsid w:val="00420BA6"/>
    <w:rsid w:val="00420E13"/>
    <w:rsid w:val="004210D7"/>
    <w:rsid w:val="0042121D"/>
    <w:rsid w:val="0042181C"/>
    <w:rsid w:val="004219E8"/>
    <w:rsid w:val="00421FAA"/>
    <w:rsid w:val="00422508"/>
    <w:rsid w:val="0042267A"/>
    <w:rsid w:val="00422BE1"/>
    <w:rsid w:val="00422C59"/>
    <w:rsid w:val="00422CFC"/>
    <w:rsid w:val="00423E35"/>
    <w:rsid w:val="0042412E"/>
    <w:rsid w:val="0042472D"/>
    <w:rsid w:val="0042505E"/>
    <w:rsid w:val="00425115"/>
    <w:rsid w:val="004257A7"/>
    <w:rsid w:val="00425A22"/>
    <w:rsid w:val="00425EF9"/>
    <w:rsid w:val="00426396"/>
    <w:rsid w:val="0042663A"/>
    <w:rsid w:val="004270B5"/>
    <w:rsid w:val="00427843"/>
    <w:rsid w:val="0043009A"/>
    <w:rsid w:val="004303BB"/>
    <w:rsid w:val="004305C5"/>
    <w:rsid w:val="00430C05"/>
    <w:rsid w:val="0043115F"/>
    <w:rsid w:val="004318F9"/>
    <w:rsid w:val="00431BB8"/>
    <w:rsid w:val="004327A9"/>
    <w:rsid w:val="004329E5"/>
    <w:rsid w:val="00432B9E"/>
    <w:rsid w:val="00432F84"/>
    <w:rsid w:val="0043362A"/>
    <w:rsid w:val="00434374"/>
    <w:rsid w:val="00434476"/>
    <w:rsid w:val="00434A4A"/>
    <w:rsid w:val="00434E4F"/>
    <w:rsid w:val="00435197"/>
    <w:rsid w:val="0043557B"/>
    <w:rsid w:val="0043561C"/>
    <w:rsid w:val="0043678E"/>
    <w:rsid w:val="0043699B"/>
    <w:rsid w:val="00436DF9"/>
    <w:rsid w:val="00437005"/>
    <w:rsid w:val="00437B57"/>
    <w:rsid w:val="00440068"/>
    <w:rsid w:val="004410BC"/>
    <w:rsid w:val="00441164"/>
    <w:rsid w:val="004414D3"/>
    <w:rsid w:val="00441A6C"/>
    <w:rsid w:val="004420F9"/>
    <w:rsid w:val="004422EC"/>
    <w:rsid w:val="0044249D"/>
    <w:rsid w:val="004426AD"/>
    <w:rsid w:val="004435D7"/>
    <w:rsid w:val="004436C4"/>
    <w:rsid w:val="0044410A"/>
    <w:rsid w:val="00444188"/>
    <w:rsid w:val="00444473"/>
    <w:rsid w:val="0044482D"/>
    <w:rsid w:val="00444927"/>
    <w:rsid w:val="004449A6"/>
    <w:rsid w:val="00444FEA"/>
    <w:rsid w:val="0044536C"/>
    <w:rsid w:val="004458AB"/>
    <w:rsid w:val="00445C9F"/>
    <w:rsid w:val="00445F4E"/>
    <w:rsid w:val="004463E7"/>
    <w:rsid w:val="0044672C"/>
    <w:rsid w:val="00446D64"/>
    <w:rsid w:val="004501E9"/>
    <w:rsid w:val="004503A1"/>
    <w:rsid w:val="00450674"/>
    <w:rsid w:val="0045197A"/>
    <w:rsid w:val="0045201A"/>
    <w:rsid w:val="00452687"/>
    <w:rsid w:val="00453DB3"/>
    <w:rsid w:val="00453DC1"/>
    <w:rsid w:val="00453FCD"/>
    <w:rsid w:val="00454A21"/>
    <w:rsid w:val="00454B8F"/>
    <w:rsid w:val="00454C05"/>
    <w:rsid w:val="00454C20"/>
    <w:rsid w:val="0045546F"/>
    <w:rsid w:val="004558FA"/>
    <w:rsid w:val="00455CAE"/>
    <w:rsid w:val="00455E9B"/>
    <w:rsid w:val="00456D15"/>
    <w:rsid w:val="0045725B"/>
    <w:rsid w:val="004578E3"/>
    <w:rsid w:val="00457CF5"/>
    <w:rsid w:val="004602D4"/>
    <w:rsid w:val="0046031D"/>
    <w:rsid w:val="004608BA"/>
    <w:rsid w:val="00460A4B"/>
    <w:rsid w:val="00460AA8"/>
    <w:rsid w:val="00461252"/>
    <w:rsid w:val="0046159B"/>
    <w:rsid w:val="00461A7C"/>
    <w:rsid w:val="00461A84"/>
    <w:rsid w:val="00461E66"/>
    <w:rsid w:val="00462286"/>
    <w:rsid w:val="00462C80"/>
    <w:rsid w:val="00462D87"/>
    <w:rsid w:val="00462D95"/>
    <w:rsid w:val="00462F25"/>
    <w:rsid w:val="004631A1"/>
    <w:rsid w:val="0046330C"/>
    <w:rsid w:val="00463393"/>
    <w:rsid w:val="00463717"/>
    <w:rsid w:val="00463754"/>
    <w:rsid w:val="004637CD"/>
    <w:rsid w:val="00463EC9"/>
    <w:rsid w:val="004646B4"/>
    <w:rsid w:val="004653AD"/>
    <w:rsid w:val="00465498"/>
    <w:rsid w:val="00465A3C"/>
    <w:rsid w:val="00465A7C"/>
    <w:rsid w:val="00465F55"/>
    <w:rsid w:val="00466093"/>
    <w:rsid w:val="0046615C"/>
    <w:rsid w:val="0046635D"/>
    <w:rsid w:val="004666B2"/>
    <w:rsid w:val="00466742"/>
    <w:rsid w:val="00466A2E"/>
    <w:rsid w:val="00466AE4"/>
    <w:rsid w:val="00467370"/>
    <w:rsid w:val="0046756D"/>
    <w:rsid w:val="00467B68"/>
    <w:rsid w:val="00467D8B"/>
    <w:rsid w:val="0047122D"/>
    <w:rsid w:val="00471361"/>
    <w:rsid w:val="00471A12"/>
    <w:rsid w:val="00472834"/>
    <w:rsid w:val="00472ADA"/>
    <w:rsid w:val="00472AF9"/>
    <w:rsid w:val="00472CA4"/>
    <w:rsid w:val="00472E87"/>
    <w:rsid w:val="004738BC"/>
    <w:rsid w:val="004738E8"/>
    <w:rsid w:val="00473E89"/>
    <w:rsid w:val="00474322"/>
    <w:rsid w:val="0047443D"/>
    <w:rsid w:val="00474620"/>
    <w:rsid w:val="004746A9"/>
    <w:rsid w:val="004746DA"/>
    <w:rsid w:val="00474A03"/>
    <w:rsid w:val="004751FE"/>
    <w:rsid w:val="00475371"/>
    <w:rsid w:val="0047548C"/>
    <w:rsid w:val="004754C9"/>
    <w:rsid w:val="00475FB6"/>
    <w:rsid w:val="00476446"/>
    <w:rsid w:val="00476D81"/>
    <w:rsid w:val="0047762B"/>
    <w:rsid w:val="004779AB"/>
    <w:rsid w:val="00477B96"/>
    <w:rsid w:val="00477C52"/>
    <w:rsid w:val="00477CA1"/>
    <w:rsid w:val="00477FA2"/>
    <w:rsid w:val="004801BA"/>
    <w:rsid w:val="0048028B"/>
    <w:rsid w:val="00480316"/>
    <w:rsid w:val="00481382"/>
    <w:rsid w:val="00481BAB"/>
    <w:rsid w:val="00481C87"/>
    <w:rsid w:val="004828B4"/>
    <w:rsid w:val="00482F94"/>
    <w:rsid w:val="00483314"/>
    <w:rsid w:val="004836CB"/>
    <w:rsid w:val="004840B7"/>
    <w:rsid w:val="00485352"/>
    <w:rsid w:val="00485B74"/>
    <w:rsid w:val="0048639E"/>
    <w:rsid w:val="004867DA"/>
    <w:rsid w:val="00486EA4"/>
    <w:rsid w:val="00486FCB"/>
    <w:rsid w:val="004876C2"/>
    <w:rsid w:val="004878B6"/>
    <w:rsid w:val="00487B62"/>
    <w:rsid w:val="00487C76"/>
    <w:rsid w:val="00487F1E"/>
    <w:rsid w:val="004902C0"/>
    <w:rsid w:val="00490831"/>
    <w:rsid w:val="00491095"/>
    <w:rsid w:val="004918B1"/>
    <w:rsid w:val="00491C5E"/>
    <w:rsid w:val="0049269C"/>
    <w:rsid w:val="00492B8D"/>
    <w:rsid w:val="00492C56"/>
    <w:rsid w:val="00492F1A"/>
    <w:rsid w:val="0049304E"/>
    <w:rsid w:val="00493782"/>
    <w:rsid w:val="004939A6"/>
    <w:rsid w:val="00493CF5"/>
    <w:rsid w:val="00493E2D"/>
    <w:rsid w:val="00494B2E"/>
    <w:rsid w:val="004952A2"/>
    <w:rsid w:val="0049590C"/>
    <w:rsid w:val="00495CBB"/>
    <w:rsid w:val="00495D9A"/>
    <w:rsid w:val="004966E0"/>
    <w:rsid w:val="00496FD6"/>
    <w:rsid w:val="0049793F"/>
    <w:rsid w:val="00497D1D"/>
    <w:rsid w:val="004A05C8"/>
    <w:rsid w:val="004A0ECC"/>
    <w:rsid w:val="004A1163"/>
    <w:rsid w:val="004A1246"/>
    <w:rsid w:val="004A17FA"/>
    <w:rsid w:val="004A1932"/>
    <w:rsid w:val="004A1DAD"/>
    <w:rsid w:val="004A215B"/>
    <w:rsid w:val="004A23E5"/>
    <w:rsid w:val="004A25D9"/>
    <w:rsid w:val="004A270B"/>
    <w:rsid w:val="004A29C7"/>
    <w:rsid w:val="004A2CD5"/>
    <w:rsid w:val="004A321F"/>
    <w:rsid w:val="004A3429"/>
    <w:rsid w:val="004A3A41"/>
    <w:rsid w:val="004A3F18"/>
    <w:rsid w:val="004A45FD"/>
    <w:rsid w:val="004A471D"/>
    <w:rsid w:val="004A493E"/>
    <w:rsid w:val="004A4D06"/>
    <w:rsid w:val="004A4FC8"/>
    <w:rsid w:val="004A5232"/>
    <w:rsid w:val="004A55BE"/>
    <w:rsid w:val="004A657D"/>
    <w:rsid w:val="004A664D"/>
    <w:rsid w:val="004A6825"/>
    <w:rsid w:val="004A6D5C"/>
    <w:rsid w:val="004A723F"/>
    <w:rsid w:val="004A76F0"/>
    <w:rsid w:val="004A7922"/>
    <w:rsid w:val="004B0033"/>
    <w:rsid w:val="004B0A5F"/>
    <w:rsid w:val="004B11AD"/>
    <w:rsid w:val="004B140D"/>
    <w:rsid w:val="004B15CE"/>
    <w:rsid w:val="004B1687"/>
    <w:rsid w:val="004B20E2"/>
    <w:rsid w:val="004B2630"/>
    <w:rsid w:val="004B2918"/>
    <w:rsid w:val="004B4A60"/>
    <w:rsid w:val="004B50E3"/>
    <w:rsid w:val="004B51A3"/>
    <w:rsid w:val="004B534E"/>
    <w:rsid w:val="004B5551"/>
    <w:rsid w:val="004B59CB"/>
    <w:rsid w:val="004B64D4"/>
    <w:rsid w:val="004B6901"/>
    <w:rsid w:val="004B6F05"/>
    <w:rsid w:val="004B702B"/>
    <w:rsid w:val="004B768B"/>
    <w:rsid w:val="004B7AD9"/>
    <w:rsid w:val="004C0244"/>
    <w:rsid w:val="004C0712"/>
    <w:rsid w:val="004C0EC9"/>
    <w:rsid w:val="004C0F0D"/>
    <w:rsid w:val="004C142D"/>
    <w:rsid w:val="004C175A"/>
    <w:rsid w:val="004C1838"/>
    <w:rsid w:val="004C19D2"/>
    <w:rsid w:val="004C1AA7"/>
    <w:rsid w:val="004C1CE3"/>
    <w:rsid w:val="004C2C95"/>
    <w:rsid w:val="004C381C"/>
    <w:rsid w:val="004C3FD7"/>
    <w:rsid w:val="004C4648"/>
    <w:rsid w:val="004C48E5"/>
    <w:rsid w:val="004C4971"/>
    <w:rsid w:val="004C5AA1"/>
    <w:rsid w:val="004C5BBD"/>
    <w:rsid w:val="004C5D10"/>
    <w:rsid w:val="004C600D"/>
    <w:rsid w:val="004C6374"/>
    <w:rsid w:val="004C64D0"/>
    <w:rsid w:val="004C6641"/>
    <w:rsid w:val="004C683A"/>
    <w:rsid w:val="004C6B4F"/>
    <w:rsid w:val="004C6D63"/>
    <w:rsid w:val="004C6DF5"/>
    <w:rsid w:val="004C79D9"/>
    <w:rsid w:val="004D0705"/>
    <w:rsid w:val="004D0EBA"/>
    <w:rsid w:val="004D14E1"/>
    <w:rsid w:val="004D199D"/>
    <w:rsid w:val="004D1E35"/>
    <w:rsid w:val="004D21E5"/>
    <w:rsid w:val="004D2237"/>
    <w:rsid w:val="004D259F"/>
    <w:rsid w:val="004D25E2"/>
    <w:rsid w:val="004D26A0"/>
    <w:rsid w:val="004D3A17"/>
    <w:rsid w:val="004D3E36"/>
    <w:rsid w:val="004D4588"/>
    <w:rsid w:val="004D4AC2"/>
    <w:rsid w:val="004D5038"/>
    <w:rsid w:val="004D50DC"/>
    <w:rsid w:val="004D51D4"/>
    <w:rsid w:val="004D5D9E"/>
    <w:rsid w:val="004D5EBD"/>
    <w:rsid w:val="004D6314"/>
    <w:rsid w:val="004D68BE"/>
    <w:rsid w:val="004D68ED"/>
    <w:rsid w:val="004D6A67"/>
    <w:rsid w:val="004D7312"/>
    <w:rsid w:val="004D7420"/>
    <w:rsid w:val="004E054D"/>
    <w:rsid w:val="004E06B0"/>
    <w:rsid w:val="004E07DA"/>
    <w:rsid w:val="004E08E7"/>
    <w:rsid w:val="004E111B"/>
    <w:rsid w:val="004E1454"/>
    <w:rsid w:val="004E2459"/>
    <w:rsid w:val="004E26C8"/>
    <w:rsid w:val="004E2822"/>
    <w:rsid w:val="004E2921"/>
    <w:rsid w:val="004E2BC5"/>
    <w:rsid w:val="004E305F"/>
    <w:rsid w:val="004E3834"/>
    <w:rsid w:val="004E3C85"/>
    <w:rsid w:val="004E3FB6"/>
    <w:rsid w:val="004E41AF"/>
    <w:rsid w:val="004E4277"/>
    <w:rsid w:val="004E46EE"/>
    <w:rsid w:val="004E4F95"/>
    <w:rsid w:val="004E53FC"/>
    <w:rsid w:val="004E578F"/>
    <w:rsid w:val="004E5CB9"/>
    <w:rsid w:val="004E5CF5"/>
    <w:rsid w:val="004E650B"/>
    <w:rsid w:val="004E6BC9"/>
    <w:rsid w:val="004E6CBA"/>
    <w:rsid w:val="004E73E8"/>
    <w:rsid w:val="004E7540"/>
    <w:rsid w:val="004E7FC0"/>
    <w:rsid w:val="004F0148"/>
    <w:rsid w:val="004F04C9"/>
    <w:rsid w:val="004F0564"/>
    <w:rsid w:val="004F056A"/>
    <w:rsid w:val="004F05B8"/>
    <w:rsid w:val="004F083D"/>
    <w:rsid w:val="004F0DF9"/>
    <w:rsid w:val="004F1A7E"/>
    <w:rsid w:val="004F2715"/>
    <w:rsid w:val="004F2A1D"/>
    <w:rsid w:val="004F2F35"/>
    <w:rsid w:val="004F34AC"/>
    <w:rsid w:val="004F3BE6"/>
    <w:rsid w:val="004F3BF4"/>
    <w:rsid w:val="004F3D20"/>
    <w:rsid w:val="004F40AD"/>
    <w:rsid w:val="004F41C8"/>
    <w:rsid w:val="004F4978"/>
    <w:rsid w:val="004F4F47"/>
    <w:rsid w:val="004F56ED"/>
    <w:rsid w:val="004F588D"/>
    <w:rsid w:val="004F5D56"/>
    <w:rsid w:val="004F5F23"/>
    <w:rsid w:val="004F5FA0"/>
    <w:rsid w:val="004F6045"/>
    <w:rsid w:val="004F6147"/>
    <w:rsid w:val="004F614F"/>
    <w:rsid w:val="004F6782"/>
    <w:rsid w:val="004F69FE"/>
    <w:rsid w:val="004F6ED6"/>
    <w:rsid w:val="004F6EE4"/>
    <w:rsid w:val="004F752A"/>
    <w:rsid w:val="004F781C"/>
    <w:rsid w:val="004F7918"/>
    <w:rsid w:val="004F7F31"/>
    <w:rsid w:val="0050098F"/>
    <w:rsid w:val="00500CC6"/>
    <w:rsid w:val="005017AF"/>
    <w:rsid w:val="00501A5D"/>
    <w:rsid w:val="00502190"/>
    <w:rsid w:val="005022AE"/>
    <w:rsid w:val="005034E2"/>
    <w:rsid w:val="00503797"/>
    <w:rsid w:val="005038CB"/>
    <w:rsid w:val="0050398F"/>
    <w:rsid w:val="005039EE"/>
    <w:rsid w:val="00503F6D"/>
    <w:rsid w:val="00504CF2"/>
    <w:rsid w:val="00505714"/>
    <w:rsid w:val="00505B35"/>
    <w:rsid w:val="0050634D"/>
    <w:rsid w:val="00506441"/>
    <w:rsid w:val="005067EB"/>
    <w:rsid w:val="00506B64"/>
    <w:rsid w:val="00507A41"/>
    <w:rsid w:val="00510162"/>
    <w:rsid w:val="005106A0"/>
    <w:rsid w:val="00510A77"/>
    <w:rsid w:val="00510B78"/>
    <w:rsid w:val="005111E1"/>
    <w:rsid w:val="00511586"/>
    <w:rsid w:val="0051227C"/>
    <w:rsid w:val="0051254F"/>
    <w:rsid w:val="005125B6"/>
    <w:rsid w:val="005129F7"/>
    <w:rsid w:val="005130A1"/>
    <w:rsid w:val="005133C9"/>
    <w:rsid w:val="0051367A"/>
    <w:rsid w:val="00513E25"/>
    <w:rsid w:val="0051430B"/>
    <w:rsid w:val="005144B5"/>
    <w:rsid w:val="00514710"/>
    <w:rsid w:val="0051524A"/>
    <w:rsid w:val="0051601C"/>
    <w:rsid w:val="005162F1"/>
    <w:rsid w:val="00516603"/>
    <w:rsid w:val="0051788F"/>
    <w:rsid w:val="0052095A"/>
    <w:rsid w:val="00520E0A"/>
    <w:rsid w:val="0052125B"/>
    <w:rsid w:val="00521565"/>
    <w:rsid w:val="005219BF"/>
    <w:rsid w:val="005221B4"/>
    <w:rsid w:val="005224A4"/>
    <w:rsid w:val="00522B66"/>
    <w:rsid w:val="00523055"/>
    <w:rsid w:val="005232C3"/>
    <w:rsid w:val="005234BC"/>
    <w:rsid w:val="00523D53"/>
    <w:rsid w:val="00523D66"/>
    <w:rsid w:val="00523F12"/>
    <w:rsid w:val="00523FCF"/>
    <w:rsid w:val="0052446A"/>
    <w:rsid w:val="00524490"/>
    <w:rsid w:val="00524A48"/>
    <w:rsid w:val="00525285"/>
    <w:rsid w:val="0052553B"/>
    <w:rsid w:val="00525A6A"/>
    <w:rsid w:val="00525BBB"/>
    <w:rsid w:val="00526118"/>
    <w:rsid w:val="005263EB"/>
    <w:rsid w:val="0052699C"/>
    <w:rsid w:val="00526CF2"/>
    <w:rsid w:val="0052700A"/>
    <w:rsid w:val="005275E5"/>
    <w:rsid w:val="00527868"/>
    <w:rsid w:val="00527A5E"/>
    <w:rsid w:val="00527BA9"/>
    <w:rsid w:val="00530166"/>
    <w:rsid w:val="00530771"/>
    <w:rsid w:val="00530783"/>
    <w:rsid w:val="00530833"/>
    <w:rsid w:val="00530DE9"/>
    <w:rsid w:val="00530EBF"/>
    <w:rsid w:val="00531469"/>
    <w:rsid w:val="005314FB"/>
    <w:rsid w:val="005320EA"/>
    <w:rsid w:val="00533561"/>
    <w:rsid w:val="0053578C"/>
    <w:rsid w:val="00535955"/>
    <w:rsid w:val="00535DC9"/>
    <w:rsid w:val="0053625D"/>
    <w:rsid w:val="00536F59"/>
    <w:rsid w:val="00537507"/>
    <w:rsid w:val="00537A32"/>
    <w:rsid w:val="0054077E"/>
    <w:rsid w:val="00540889"/>
    <w:rsid w:val="00540997"/>
    <w:rsid w:val="005412F3"/>
    <w:rsid w:val="00541413"/>
    <w:rsid w:val="005414EF"/>
    <w:rsid w:val="005420CD"/>
    <w:rsid w:val="00542366"/>
    <w:rsid w:val="005424AA"/>
    <w:rsid w:val="005425AD"/>
    <w:rsid w:val="00542A02"/>
    <w:rsid w:val="005431F0"/>
    <w:rsid w:val="005431FC"/>
    <w:rsid w:val="00544329"/>
    <w:rsid w:val="00544453"/>
    <w:rsid w:val="005446AA"/>
    <w:rsid w:val="005448CD"/>
    <w:rsid w:val="00545158"/>
    <w:rsid w:val="00545440"/>
    <w:rsid w:val="005454E8"/>
    <w:rsid w:val="00546FEB"/>
    <w:rsid w:val="0054766B"/>
    <w:rsid w:val="005501CE"/>
    <w:rsid w:val="00550733"/>
    <w:rsid w:val="00550AA6"/>
    <w:rsid w:val="00550D0E"/>
    <w:rsid w:val="005516BD"/>
    <w:rsid w:val="0055172A"/>
    <w:rsid w:val="00552833"/>
    <w:rsid w:val="00552F06"/>
    <w:rsid w:val="005530E3"/>
    <w:rsid w:val="00553457"/>
    <w:rsid w:val="00553797"/>
    <w:rsid w:val="005539EC"/>
    <w:rsid w:val="00553A0B"/>
    <w:rsid w:val="00553FFB"/>
    <w:rsid w:val="00554329"/>
    <w:rsid w:val="00554607"/>
    <w:rsid w:val="00554627"/>
    <w:rsid w:val="0055475C"/>
    <w:rsid w:val="005547FF"/>
    <w:rsid w:val="00554D86"/>
    <w:rsid w:val="00554F04"/>
    <w:rsid w:val="00555E12"/>
    <w:rsid w:val="005563C9"/>
    <w:rsid w:val="005566AA"/>
    <w:rsid w:val="00556B93"/>
    <w:rsid w:val="0055711B"/>
    <w:rsid w:val="0055738E"/>
    <w:rsid w:val="005574F9"/>
    <w:rsid w:val="00560031"/>
    <w:rsid w:val="00560404"/>
    <w:rsid w:val="00560624"/>
    <w:rsid w:val="00560881"/>
    <w:rsid w:val="00560C38"/>
    <w:rsid w:val="00560D2B"/>
    <w:rsid w:val="00560DE2"/>
    <w:rsid w:val="00560FAC"/>
    <w:rsid w:val="005611B9"/>
    <w:rsid w:val="005612D4"/>
    <w:rsid w:val="005613A3"/>
    <w:rsid w:val="005613A7"/>
    <w:rsid w:val="00561975"/>
    <w:rsid w:val="005619B7"/>
    <w:rsid w:val="00561C1C"/>
    <w:rsid w:val="00561CCE"/>
    <w:rsid w:val="00561D3C"/>
    <w:rsid w:val="00562E3D"/>
    <w:rsid w:val="005634BA"/>
    <w:rsid w:val="00563ADB"/>
    <w:rsid w:val="00563F75"/>
    <w:rsid w:val="005640EB"/>
    <w:rsid w:val="00564600"/>
    <w:rsid w:val="0056495D"/>
    <w:rsid w:val="00564DA3"/>
    <w:rsid w:val="00564EB4"/>
    <w:rsid w:val="005651DE"/>
    <w:rsid w:val="00565514"/>
    <w:rsid w:val="0056557A"/>
    <w:rsid w:val="00565FCB"/>
    <w:rsid w:val="00566282"/>
    <w:rsid w:val="00566766"/>
    <w:rsid w:val="00566845"/>
    <w:rsid w:val="00566A6C"/>
    <w:rsid w:val="00566F82"/>
    <w:rsid w:val="00567B69"/>
    <w:rsid w:val="0057013D"/>
    <w:rsid w:val="00570584"/>
    <w:rsid w:val="0057094E"/>
    <w:rsid w:val="00570A00"/>
    <w:rsid w:val="00570E16"/>
    <w:rsid w:val="005712D6"/>
    <w:rsid w:val="00571812"/>
    <w:rsid w:val="00571DCD"/>
    <w:rsid w:val="0057218C"/>
    <w:rsid w:val="005723F9"/>
    <w:rsid w:val="00572C81"/>
    <w:rsid w:val="00572E70"/>
    <w:rsid w:val="00572EB6"/>
    <w:rsid w:val="00573348"/>
    <w:rsid w:val="00573369"/>
    <w:rsid w:val="005737C9"/>
    <w:rsid w:val="00573C20"/>
    <w:rsid w:val="00574098"/>
    <w:rsid w:val="0057418A"/>
    <w:rsid w:val="00574923"/>
    <w:rsid w:val="005749F3"/>
    <w:rsid w:val="00574D59"/>
    <w:rsid w:val="0057535A"/>
    <w:rsid w:val="00575C24"/>
    <w:rsid w:val="00576226"/>
    <w:rsid w:val="005762EA"/>
    <w:rsid w:val="005767AE"/>
    <w:rsid w:val="00576933"/>
    <w:rsid w:val="005773EC"/>
    <w:rsid w:val="00580390"/>
    <w:rsid w:val="00580F52"/>
    <w:rsid w:val="005816EE"/>
    <w:rsid w:val="005817B2"/>
    <w:rsid w:val="005819F7"/>
    <w:rsid w:val="00581C35"/>
    <w:rsid w:val="00581C62"/>
    <w:rsid w:val="0058204A"/>
    <w:rsid w:val="00582265"/>
    <w:rsid w:val="005823A5"/>
    <w:rsid w:val="005824C6"/>
    <w:rsid w:val="00582629"/>
    <w:rsid w:val="00582674"/>
    <w:rsid w:val="005826EE"/>
    <w:rsid w:val="0058271E"/>
    <w:rsid w:val="0058283F"/>
    <w:rsid w:val="005834BC"/>
    <w:rsid w:val="00583930"/>
    <w:rsid w:val="00583BFE"/>
    <w:rsid w:val="00583D8A"/>
    <w:rsid w:val="00583DBE"/>
    <w:rsid w:val="005840EF"/>
    <w:rsid w:val="005843BE"/>
    <w:rsid w:val="005845A3"/>
    <w:rsid w:val="005848F8"/>
    <w:rsid w:val="00584E2F"/>
    <w:rsid w:val="00585151"/>
    <w:rsid w:val="0058523B"/>
    <w:rsid w:val="0058525B"/>
    <w:rsid w:val="00585AAE"/>
    <w:rsid w:val="00585C03"/>
    <w:rsid w:val="00585F1C"/>
    <w:rsid w:val="00586637"/>
    <w:rsid w:val="00587229"/>
    <w:rsid w:val="00587C46"/>
    <w:rsid w:val="00587F56"/>
    <w:rsid w:val="00587FD9"/>
    <w:rsid w:val="005900B9"/>
    <w:rsid w:val="005902C9"/>
    <w:rsid w:val="005908B9"/>
    <w:rsid w:val="00591265"/>
    <w:rsid w:val="00591283"/>
    <w:rsid w:val="005915A4"/>
    <w:rsid w:val="005924D3"/>
    <w:rsid w:val="005924F1"/>
    <w:rsid w:val="005925E3"/>
    <w:rsid w:val="0059304D"/>
    <w:rsid w:val="005933AE"/>
    <w:rsid w:val="005934A8"/>
    <w:rsid w:val="00593CBE"/>
    <w:rsid w:val="00593F5D"/>
    <w:rsid w:val="0059404E"/>
    <w:rsid w:val="005944F1"/>
    <w:rsid w:val="005948E1"/>
    <w:rsid w:val="00594B14"/>
    <w:rsid w:val="00595156"/>
    <w:rsid w:val="005965C9"/>
    <w:rsid w:val="005966C9"/>
    <w:rsid w:val="005967C0"/>
    <w:rsid w:val="00596832"/>
    <w:rsid w:val="00596CCB"/>
    <w:rsid w:val="00596DB6"/>
    <w:rsid w:val="005970CD"/>
    <w:rsid w:val="00597753"/>
    <w:rsid w:val="005979C3"/>
    <w:rsid w:val="00597E6F"/>
    <w:rsid w:val="005A0203"/>
    <w:rsid w:val="005A052F"/>
    <w:rsid w:val="005A05DF"/>
    <w:rsid w:val="005A0C7F"/>
    <w:rsid w:val="005A0ECA"/>
    <w:rsid w:val="005A0EFC"/>
    <w:rsid w:val="005A1018"/>
    <w:rsid w:val="005A1099"/>
    <w:rsid w:val="005A10AE"/>
    <w:rsid w:val="005A12EF"/>
    <w:rsid w:val="005A13B0"/>
    <w:rsid w:val="005A15D8"/>
    <w:rsid w:val="005A1980"/>
    <w:rsid w:val="005A1A26"/>
    <w:rsid w:val="005A1BC8"/>
    <w:rsid w:val="005A1C64"/>
    <w:rsid w:val="005A1F74"/>
    <w:rsid w:val="005A207E"/>
    <w:rsid w:val="005A2593"/>
    <w:rsid w:val="005A2FFB"/>
    <w:rsid w:val="005A3196"/>
    <w:rsid w:val="005A339E"/>
    <w:rsid w:val="005A35CE"/>
    <w:rsid w:val="005A3858"/>
    <w:rsid w:val="005A3CF7"/>
    <w:rsid w:val="005A3E4B"/>
    <w:rsid w:val="005A408B"/>
    <w:rsid w:val="005A48B4"/>
    <w:rsid w:val="005A581C"/>
    <w:rsid w:val="005A6E32"/>
    <w:rsid w:val="005A6F80"/>
    <w:rsid w:val="005A7215"/>
    <w:rsid w:val="005A726F"/>
    <w:rsid w:val="005A7550"/>
    <w:rsid w:val="005A782E"/>
    <w:rsid w:val="005A793B"/>
    <w:rsid w:val="005A79AE"/>
    <w:rsid w:val="005A7EBC"/>
    <w:rsid w:val="005B0168"/>
    <w:rsid w:val="005B01B7"/>
    <w:rsid w:val="005B05E7"/>
    <w:rsid w:val="005B0774"/>
    <w:rsid w:val="005B0E02"/>
    <w:rsid w:val="005B1731"/>
    <w:rsid w:val="005B1878"/>
    <w:rsid w:val="005B203F"/>
    <w:rsid w:val="005B2054"/>
    <w:rsid w:val="005B247D"/>
    <w:rsid w:val="005B2561"/>
    <w:rsid w:val="005B25AA"/>
    <w:rsid w:val="005B2607"/>
    <w:rsid w:val="005B26FD"/>
    <w:rsid w:val="005B3EF1"/>
    <w:rsid w:val="005B3F34"/>
    <w:rsid w:val="005B429E"/>
    <w:rsid w:val="005B42A7"/>
    <w:rsid w:val="005B44D0"/>
    <w:rsid w:val="005B4CD8"/>
    <w:rsid w:val="005B55D6"/>
    <w:rsid w:val="005B5B11"/>
    <w:rsid w:val="005B5C27"/>
    <w:rsid w:val="005B5C4A"/>
    <w:rsid w:val="005B5FC3"/>
    <w:rsid w:val="005B60BD"/>
    <w:rsid w:val="005B61BF"/>
    <w:rsid w:val="005B67FE"/>
    <w:rsid w:val="005B6837"/>
    <w:rsid w:val="005B705F"/>
    <w:rsid w:val="005B7A53"/>
    <w:rsid w:val="005C0607"/>
    <w:rsid w:val="005C0A76"/>
    <w:rsid w:val="005C0F3A"/>
    <w:rsid w:val="005C0F51"/>
    <w:rsid w:val="005C0FA9"/>
    <w:rsid w:val="005C0FE5"/>
    <w:rsid w:val="005C11E6"/>
    <w:rsid w:val="005C147A"/>
    <w:rsid w:val="005C1F3B"/>
    <w:rsid w:val="005C208C"/>
    <w:rsid w:val="005C2A7E"/>
    <w:rsid w:val="005C2E67"/>
    <w:rsid w:val="005C35ED"/>
    <w:rsid w:val="005C35FA"/>
    <w:rsid w:val="005C37F2"/>
    <w:rsid w:val="005C42EA"/>
    <w:rsid w:val="005C4616"/>
    <w:rsid w:val="005C4D24"/>
    <w:rsid w:val="005C4DD7"/>
    <w:rsid w:val="005C539A"/>
    <w:rsid w:val="005C5693"/>
    <w:rsid w:val="005C6F04"/>
    <w:rsid w:val="005C74F8"/>
    <w:rsid w:val="005C75B9"/>
    <w:rsid w:val="005C778A"/>
    <w:rsid w:val="005C794A"/>
    <w:rsid w:val="005C7B1F"/>
    <w:rsid w:val="005C7E97"/>
    <w:rsid w:val="005D065D"/>
    <w:rsid w:val="005D070B"/>
    <w:rsid w:val="005D0C8D"/>
    <w:rsid w:val="005D12BF"/>
    <w:rsid w:val="005D14E9"/>
    <w:rsid w:val="005D1B75"/>
    <w:rsid w:val="005D1C71"/>
    <w:rsid w:val="005D21A6"/>
    <w:rsid w:val="005D29D5"/>
    <w:rsid w:val="005D29F6"/>
    <w:rsid w:val="005D383D"/>
    <w:rsid w:val="005D3947"/>
    <w:rsid w:val="005D3D18"/>
    <w:rsid w:val="005D3E4A"/>
    <w:rsid w:val="005D3E97"/>
    <w:rsid w:val="005D3F76"/>
    <w:rsid w:val="005D4095"/>
    <w:rsid w:val="005D4641"/>
    <w:rsid w:val="005D49A2"/>
    <w:rsid w:val="005D49FF"/>
    <w:rsid w:val="005D4ACD"/>
    <w:rsid w:val="005D4C36"/>
    <w:rsid w:val="005D4D0A"/>
    <w:rsid w:val="005D526E"/>
    <w:rsid w:val="005D5695"/>
    <w:rsid w:val="005D6156"/>
    <w:rsid w:val="005D63D6"/>
    <w:rsid w:val="005D64BF"/>
    <w:rsid w:val="005D6CA0"/>
    <w:rsid w:val="005D7ED3"/>
    <w:rsid w:val="005E0862"/>
    <w:rsid w:val="005E08CF"/>
    <w:rsid w:val="005E1375"/>
    <w:rsid w:val="005E147F"/>
    <w:rsid w:val="005E178A"/>
    <w:rsid w:val="005E19FF"/>
    <w:rsid w:val="005E1CEB"/>
    <w:rsid w:val="005E2576"/>
    <w:rsid w:val="005E27F6"/>
    <w:rsid w:val="005E2A30"/>
    <w:rsid w:val="005E2FF1"/>
    <w:rsid w:val="005E3850"/>
    <w:rsid w:val="005E3B4D"/>
    <w:rsid w:val="005E3B5B"/>
    <w:rsid w:val="005E3DEF"/>
    <w:rsid w:val="005E41A6"/>
    <w:rsid w:val="005E4266"/>
    <w:rsid w:val="005E427F"/>
    <w:rsid w:val="005E4E97"/>
    <w:rsid w:val="005E54F0"/>
    <w:rsid w:val="005E57F7"/>
    <w:rsid w:val="005E5C65"/>
    <w:rsid w:val="005E5DFA"/>
    <w:rsid w:val="005E682E"/>
    <w:rsid w:val="005E68F3"/>
    <w:rsid w:val="005E6A57"/>
    <w:rsid w:val="005E6F86"/>
    <w:rsid w:val="005E70D9"/>
    <w:rsid w:val="005E71E1"/>
    <w:rsid w:val="005E7479"/>
    <w:rsid w:val="005E756A"/>
    <w:rsid w:val="005E7892"/>
    <w:rsid w:val="005E7CCA"/>
    <w:rsid w:val="005F0245"/>
    <w:rsid w:val="005F0652"/>
    <w:rsid w:val="005F07BE"/>
    <w:rsid w:val="005F0AE1"/>
    <w:rsid w:val="005F0DE4"/>
    <w:rsid w:val="005F1146"/>
    <w:rsid w:val="005F191F"/>
    <w:rsid w:val="005F1D68"/>
    <w:rsid w:val="005F3C0A"/>
    <w:rsid w:val="005F3CEA"/>
    <w:rsid w:val="005F4587"/>
    <w:rsid w:val="005F4A97"/>
    <w:rsid w:val="005F4E85"/>
    <w:rsid w:val="005F546F"/>
    <w:rsid w:val="005F5479"/>
    <w:rsid w:val="005F5B32"/>
    <w:rsid w:val="005F66AA"/>
    <w:rsid w:val="005F66DC"/>
    <w:rsid w:val="005F731B"/>
    <w:rsid w:val="005F786A"/>
    <w:rsid w:val="005F7AC1"/>
    <w:rsid w:val="005F7EA3"/>
    <w:rsid w:val="00600DA1"/>
    <w:rsid w:val="006013FB"/>
    <w:rsid w:val="00601583"/>
    <w:rsid w:val="00601CE8"/>
    <w:rsid w:val="00601F1A"/>
    <w:rsid w:val="00601F8B"/>
    <w:rsid w:val="0060259D"/>
    <w:rsid w:val="00602746"/>
    <w:rsid w:val="0060294C"/>
    <w:rsid w:val="00602FB1"/>
    <w:rsid w:val="00603073"/>
    <w:rsid w:val="00603105"/>
    <w:rsid w:val="00603128"/>
    <w:rsid w:val="006036E2"/>
    <w:rsid w:val="006037C5"/>
    <w:rsid w:val="00603976"/>
    <w:rsid w:val="00603A7A"/>
    <w:rsid w:val="00604319"/>
    <w:rsid w:val="00604D76"/>
    <w:rsid w:val="00604F87"/>
    <w:rsid w:val="0060508A"/>
    <w:rsid w:val="006052B9"/>
    <w:rsid w:val="00605607"/>
    <w:rsid w:val="00605E4D"/>
    <w:rsid w:val="00606002"/>
    <w:rsid w:val="00606458"/>
    <w:rsid w:val="00606720"/>
    <w:rsid w:val="00606841"/>
    <w:rsid w:val="00606CC5"/>
    <w:rsid w:val="00606E65"/>
    <w:rsid w:val="00607141"/>
    <w:rsid w:val="00607385"/>
    <w:rsid w:val="00607B23"/>
    <w:rsid w:val="00610057"/>
    <w:rsid w:val="00610C20"/>
    <w:rsid w:val="00611189"/>
    <w:rsid w:val="00611765"/>
    <w:rsid w:val="0061233F"/>
    <w:rsid w:val="006125C5"/>
    <w:rsid w:val="00612766"/>
    <w:rsid w:val="0061278B"/>
    <w:rsid w:val="00612B0D"/>
    <w:rsid w:val="00612EE9"/>
    <w:rsid w:val="0061385B"/>
    <w:rsid w:val="00613AB5"/>
    <w:rsid w:val="006144BB"/>
    <w:rsid w:val="00614667"/>
    <w:rsid w:val="006149AD"/>
    <w:rsid w:val="00614CAC"/>
    <w:rsid w:val="00615189"/>
    <w:rsid w:val="00616089"/>
    <w:rsid w:val="00616900"/>
    <w:rsid w:val="00616A41"/>
    <w:rsid w:val="00616ACC"/>
    <w:rsid w:val="00616B2A"/>
    <w:rsid w:val="0061744E"/>
    <w:rsid w:val="0061799E"/>
    <w:rsid w:val="00617B9D"/>
    <w:rsid w:val="00617CDA"/>
    <w:rsid w:val="00620102"/>
    <w:rsid w:val="0062032D"/>
    <w:rsid w:val="006204D9"/>
    <w:rsid w:val="0062057F"/>
    <w:rsid w:val="006205AD"/>
    <w:rsid w:val="0062165E"/>
    <w:rsid w:val="00621934"/>
    <w:rsid w:val="00621C89"/>
    <w:rsid w:val="00621FA9"/>
    <w:rsid w:val="00622007"/>
    <w:rsid w:val="00622079"/>
    <w:rsid w:val="00622782"/>
    <w:rsid w:val="00622874"/>
    <w:rsid w:val="006239A3"/>
    <w:rsid w:val="00623D94"/>
    <w:rsid w:val="00623F1D"/>
    <w:rsid w:val="00624D93"/>
    <w:rsid w:val="006254B1"/>
    <w:rsid w:val="006261D9"/>
    <w:rsid w:val="006265BD"/>
    <w:rsid w:val="006265D8"/>
    <w:rsid w:val="00626AAB"/>
    <w:rsid w:val="00630007"/>
    <w:rsid w:val="006305AE"/>
    <w:rsid w:val="00630940"/>
    <w:rsid w:val="00630B6A"/>
    <w:rsid w:val="006312F7"/>
    <w:rsid w:val="00631B50"/>
    <w:rsid w:val="006320CB"/>
    <w:rsid w:val="00632656"/>
    <w:rsid w:val="00632991"/>
    <w:rsid w:val="00632F67"/>
    <w:rsid w:val="006331E5"/>
    <w:rsid w:val="006333DD"/>
    <w:rsid w:val="006335DE"/>
    <w:rsid w:val="006339B8"/>
    <w:rsid w:val="00633FD6"/>
    <w:rsid w:val="0063450F"/>
    <w:rsid w:val="006345ED"/>
    <w:rsid w:val="006345EE"/>
    <w:rsid w:val="00634C72"/>
    <w:rsid w:val="0063515E"/>
    <w:rsid w:val="00635E30"/>
    <w:rsid w:val="006361DC"/>
    <w:rsid w:val="00636330"/>
    <w:rsid w:val="0063731C"/>
    <w:rsid w:val="00640005"/>
    <w:rsid w:val="0064043A"/>
    <w:rsid w:val="0064099A"/>
    <w:rsid w:val="00640EE9"/>
    <w:rsid w:val="00640FBA"/>
    <w:rsid w:val="00641758"/>
    <w:rsid w:val="00641B57"/>
    <w:rsid w:val="00641DF1"/>
    <w:rsid w:val="00641E4F"/>
    <w:rsid w:val="006420AB"/>
    <w:rsid w:val="00642978"/>
    <w:rsid w:val="00642B83"/>
    <w:rsid w:val="0064341D"/>
    <w:rsid w:val="00644462"/>
    <w:rsid w:val="00645164"/>
    <w:rsid w:val="006455FE"/>
    <w:rsid w:val="00645C8C"/>
    <w:rsid w:val="006469A2"/>
    <w:rsid w:val="00646AB8"/>
    <w:rsid w:val="00646D0D"/>
    <w:rsid w:val="006470E5"/>
    <w:rsid w:val="006471F9"/>
    <w:rsid w:val="0064776F"/>
    <w:rsid w:val="0064782E"/>
    <w:rsid w:val="006479EC"/>
    <w:rsid w:val="00647A3C"/>
    <w:rsid w:val="0065045B"/>
    <w:rsid w:val="00650635"/>
    <w:rsid w:val="006507E9"/>
    <w:rsid w:val="00650822"/>
    <w:rsid w:val="00650A98"/>
    <w:rsid w:val="00651DE4"/>
    <w:rsid w:val="006521E6"/>
    <w:rsid w:val="006525F9"/>
    <w:rsid w:val="00652863"/>
    <w:rsid w:val="0065290E"/>
    <w:rsid w:val="00652921"/>
    <w:rsid w:val="00652950"/>
    <w:rsid w:val="00652E02"/>
    <w:rsid w:val="006532FB"/>
    <w:rsid w:val="00653C4B"/>
    <w:rsid w:val="00653D6D"/>
    <w:rsid w:val="006548AD"/>
    <w:rsid w:val="00654978"/>
    <w:rsid w:val="0065544C"/>
    <w:rsid w:val="006559C6"/>
    <w:rsid w:val="00655E4B"/>
    <w:rsid w:val="006560A2"/>
    <w:rsid w:val="00656401"/>
    <w:rsid w:val="00656989"/>
    <w:rsid w:val="006572C7"/>
    <w:rsid w:val="00657372"/>
    <w:rsid w:val="006578FA"/>
    <w:rsid w:val="0066025F"/>
    <w:rsid w:val="00660473"/>
    <w:rsid w:val="0066047B"/>
    <w:rsid w:val="00660D04"/>
    <w:rsid w:val="00660E13"/>
    <w:rsid w:val="0066141F"/>
    <w:rsid w:val="006615CE"/>
    <w:rsid w:val="00661B9D"/>
    <w:rsid w:val="006624EE"/>
    <w:rsid w:val="006628C1"/>
    <w:rsid w:val="00662E8A"/>
    <w:rsid w:val="00663136"/>
    <w:rsid w:val="00663BB8"/>
    <w:rsid w:val="00663CD7"/>
    <w:rsid w:val="00663E10"/>
    <w:rsid w:val="00663EBA"/>
    <w:rsid w:val="00663F2E"/>
    <w:rsid w:val="0066419D"/>
    <w:rsid w:val="0066434A"/>
    <w:rsid w:val="00664404"/>
    <w:rsid w:val="00664879"/>
    <w:rsid w:val="006655C3"/>
    <w:rsid w:val="00665E1E"/>
    <w:rsid w:val="006661AE"/>
    <w:rsid w:val="006661E7"/>
    <w:rsid w:val="0066694C"/>
    <w:rsid w:val="00666EAA"/>
    <w:rsid w:val="0066711D"/>
    <w:rsid w:val="006671D6"/>
    <w:rsid w:val="00667451"/>
    <w:rsid w:val="006674AF"/>
    <w:rsid w:val="00667861"/>
    <w:rsid w:val="00667CE2"/>
    <w:rsid w:val="00667EF3"/>
    <w:rsid w:val="00667FEE"/>
    <w:rsid w:val="00670175"/>
    <w:rsid w:val="006701A1"/>
    <w:rsid w:val="006707CC"/>
    <w:rsid w:val="006708F6"/>
    <w:rsid w:val="00670DF0"/>
    <w:rsid w:val="00670E7B"/>
    <w:rsid w:val="00670ECD"/>
    <w:rsid w:val="0067129F"/>
    <w:rsid w:val="00671629"/>
    <w:rsid w:val="00671A26"/>
    <w:rsid w:val="00671D8A"/>
    <w:rsid w:val="00671E40"/>
    <w:rsid w:val="0067356B"/>
    <w:rsid w:val="00673BEE"/>
    <w:rsid w:val="00673D65"/>
    <w:rsid w:val="00673E42"/>
    <w:rsid w:val="006740EF"/>
    <w:rsid w:val="006746D0"/>
    <w:rsid w:val="00675115"/>
    <w:rsid w:val="00675502"/>
    <w:rsid w:val="00675FA0"/>
    <w:rsid w:val="006775D3"/>
    <w:rsid w:val="00677B79"/>
    <w:rsid w:val="00677FAC"/>
    <w:rsid w:val="006805AC"/>
    <w:rsid w:val="00680B1F"/>
    <w:rsid w:val="00680E20"/>
    <w:rsid w:val="00680E4A"/>
    <w:rsid w:val="00681209"/>
    <w:rsid w:val="00681436"/>
    <w:rsid w:val="006815F6"/>
    <w:rsid w:val="00681A6F"/>
    <w:rsid w:val="00681C2D"/>
    <w:rsid w:val="00681D97"/>
    <w:rsid w:val="00681E9C"/>
    <w:rsid w:val="00681F24"/>
    <w:rsid w:val="006820A6"/>
    <w:rsid w:val="006826D6"/>
    <w:rsid w:val="00682D13"/>
    <w:rsid w:val="00682DEB"/>
    <w:rsid w:val="00682F49"/>
    <w:rsid w:val="006838FF"/>
    <w:rsid w:val="00683A08"/>
    <w:rsid w:val="0068401C"/>
    <w:rsid w:val="006840C7"/>
    <w:rsid w:val="0068441B"/>
    <w:rsid w:val="0068476F"/>
    <w:rsid w:val="00684C89"/>
    <w:rsid w:val="00685196"/>
    <w:rsid w:val="0068553C"/>
    <w:rsid w:val="006856C2"/>
    <w:rsid w:val="00686F72"/>
    <w:rsid w:val="0068744E"/>
    <w:rsid w:val="006875BF"/>
    <w:rsid w:val="00687644"/>
    <w:rsid w:val="00687A58"/>
    <w:rsid w:val="00687CF6"/>
    <w:rsid w:val="00687D00"/>
    <w:rsid w:val="0069098B"/>
    <w:rsid w:val="00691115"/>
    <w:rsid w:val="006914F0"/>
    <w:rsid w:val="006915DB"/>
    <w:rsid w:val="006923EA"/>
    <w:rsid w:val="006926D4"/>
    <w:rsid w:val="00692D1A"/>
    <w:rsid w:val="006930F8"/>
    <w:rsid w:val="00693912"/>
    <w:rsid w:val="00693BDB"/>
    <w:rsid w:val="00693D13"/>
    <w:rsid w:val="006940D3"/>
    <w:rsid w:val="006940F0"/>
    <w:rsid w:val="00694113"/>
    <w:rsid w:val="006947F6"/>
    <w:rsid w:val="006949CD"/>
    <w:rsid w:val="00694D72"/>
    <w:rsid w:val="00694FE0"/>
    <w:rsid w:val="006957DE"/>
    <w:rsid w:val="00695C9D"/>
    <w:rsid w:val="006962AA"/>
    <w:rsid w:val="006966DF"/>
    <w:rsid w:val="00696FF1"/>
    <w:rsid w:val="006972F7"/>
    <w:rsid w:val="00697918"/>
    <w:rsid w:val="00697AC1"/>
    <w:rsid w:val="00697F3F"/>
    <w:rsid w:val="006A0405"/>
    <w:rsid w:val="006A0534"/>
    <w:rsid w:val="006A0747"/>
    <w:rsid w:val="006A0D24"/>
    <w:rsid w:val="006A14AC"/>
    <w:rsid w:val="006A1640"/>
    <w:rsid w:val="006A1679"/>
    <w:rsid w:val="006A16A8"/>
    <w:rsid w:val="006A18E6"/>
    <w:rsid w:val="006A1DBF"/>
    <w:rsid w:val="006A273B"/>
    <w:rsid w:val="006A29F8"/>
    <w:rsid w:val="006A3786"/>
    <w:rsid w:val="006A3E95"/>
    <w:rsid w:val="006A4344"/>
    <w:rsid w:val="006A43FD"/>
    <w:rsid w:val="006A4E28"/>
    <w:rsid w:val="006A50E1"/>
    <w:rsid w:val="006A55B0"/>
    <w:rsid w:val="006A5946"/>
    <w:rsid w:val="006A5BE3"/>
    <w:rsid w:val="006A5C43"/>
    <w:rsid w:val="006A683D"/>
    <w:rsid w:val="006A6C1F"/>
    <w:rsid w:val="006A6CA6"/>
    <w:rsid w:val="006A77AB"/>
    <w:rsid w:val="006A7D09"/>
    <w:rsid w:val="006B0723"/>
    <w:rsid w:val="006B0794"/>
    <w:rsid w:val="006B0EF2"/>
    <w:rsid w:val="006B1213"/>
    <w:rsid w:val="006B14B4"/>
    <w:rsid w:val="006B1692"/>
    <w:rsid w:val="006B1A4C"/>
    <w:rsid w:val="006B2257"/>
    <w:rsid w:val="006B249D"/>
    <w:rsid w:val="006B25B8"/>
    <w:rsid w:val="006B26C9"/>
    <w:rsid w:val="006B3E1A"/>
    <w:rsid w:val="006B3F37"/>
    <w:rsid w:val="006B49F5"/>
    <w:rsid w:val="006B4DB0"/>
    <w:rsid w:val="006B51B9"/>
    <w:rsid w:val="006B6130"/>
    <w:rsid w:val="006B632A"/>
    <w:rsid w:val="006B657B"/>
    <w:rsid w:val="006B7123"/>
    <w:rsid w:val="006B75B6"/>
    <w:rsid w:val="006B7772"/>
    <w:rsid w:val="006B7A80"/>
    <w:rsid w:val="006C0484"/>
    <w:rsid w:val="006C05A9"/>
    <w:rsid w:val="006C0F83"/>
    <w:rsid w:val="006C179E"/>
    <w:rsid w:val="006C1850"/>
    <w:rsid w:val="006C1A5F"/>
    <w:rsid w:val="006C1D4C"/>
    <w:rsid w:val="006C1F6C"/>
    <w:rsid w:val="006C25DD"/>
    <w:rsid w:val="006C2910"/>
    <w:rsid w:val="006C2CB1"/>
    <w:rsid w:val="006C2D53"/>
    <w:rsid w:val="006C2DAE"/>
    <w:rsid w:val="006C3AB5"/>
    <w:rsid w:val="006C562C"/>
    <w:rsid w:val="006C5775"/>
    <w:rsid w:val="006C580C"/>
    <w:rsid w:val="006C61A8"/>
    <w:rsid w:val="006C65A0"/>
    <w:rsid w:val="006C6E7A"/>
    <w:rsid w:val="006C7394"/>
    <w:rsid w:val="006C76C7"/>
    <w:rsid w:val="006C7EC3"/>
    <w:rsid w:val="006D036D"/>
    <w:rsid w:val="006D0793"/>
    <w:rsid w:val="006D0B8E"/>
    <w:rsid w:val="006D0F97"/>
    <w:rsid w:val="006D101E"/>
    <w:rsid w:val="006D130E"/>
    <w:rsid w:val="006D1A28"/>
    <w:rsid w:val="006D1B1C"/>
    <w:rsid w:val="006D21C1"/>
    <w:rsid w:val="006D2BDA"/>
    <w:rsid w:val="006D348B"/>
    <w:rsid w:val="006D3522"/>
    <w:rsid w:val="006D3530"/>
    <w:rsid w:val="006D3751"/>
    <w:rsid w:val="006D4415"/>
    <w:rsid w:val="006D47F4"/>
    <w:rsid w:val="006D48BD"/>
    <w:rsid w:val="006D4DAD"/>
    <w:rsid w:val="006D5683"/>
    <w:rsid w:val="006D60C9"/>
    <w:rsid w:val="006D6F11"/>
    <w:rsid w:val="006D7EAC"/>
    <w:rsid w:val="006E03A8"/>
    <w:rsid w:val="006E0CFF"/>
    <w:rsid w:val="006E0F5E"/>
    <w:rsid w:val="006E17E8"/>
    <w:rsid w:val="006E1A47"/>
    <w:rsid w:val="006E255D"/>
    <w:rsid w:val="006E3379"/>
    <w:rsid w:val="006E3648"/>
    <w:rsid w:val="006E38CF"/>
    <w:rsid w:val="006E3B32"/>
    <w:rsid w:val="006E4494"/>
    <w:rsid w:val="006E551D"/>
    <w:rsid w:val="006E566A"/>
    <w:rsid w:val="006E566E"/>
    <w:rsid w:val="006E5CD9"/>
    <w:rsid w:val="006E737E"/>
    <w:rsid w:val="006E783E"/>
    <w:rsid w:val="006E7889"/>
    <w:rsid w:val="006E7CBD"/>
    <w:rsid w:val="006E7FC2"/>
    <w:rsid w:val="006F000F"/>
    <w:rsid w:val="006F003B"/>
    <w:rsid w:val="006F0608"/>
    <w:rsid w:val="006F090F"/>
    <w:rsid w:val="006F1238"/>
    <w:rsid w:val="006F1358"/>
    <w:rsid w:val="006F1F39"/>
    <w:rsid w:val="006F26CE"/>
    <w:rsid w:val="006F27E3"/>
    <w:rsid w:val="006F28FB"/>
    <w:rsid w:val="006F2EE7"/>
    <w:rsid w:val="006F316D"/>
    <w:rsid w:val="006F3298"/>
    <w:rsid w:val="006F337A"/>
    <w:rsid w:val="006F3918"/>
    <w:rsid w:val="006F39CD"/>
    <w:rsid w:val="006F3DAA"/>
    <w:rsid w:val="006F491F"/>
    <w:rsid w:val="006F4F72"/>
    <w:rsid w:val="006F529F"/>
    <w:rsid w:val="006F5FB6"/>
    <w:rsid w:val="006F7DDF"/>
    <w:rsid w:val="00700123"/>
    <w:rsid w:val="007004A0"/>
    <w:rsid w:val="0070109F"/>
    <w:rsid w:val="00701447"/>
    <w:rsid w:val="007016A8"/>
    <w:rsid w:val="007016D3"/>
    <w:rsid w:val="00701979"/>
    <w:rsid w:val="00701F65"/>
    <w:rsid w:val="007021FC"/>
    <w:rsid w:val="007023A5"/>
    <w:rsid w:val="00702672"/>
    <w:rsid w:val="0070281F"/>
    <w:rsid w:val="00702F78"/>
    <w:rsid w:val="00702F7F"/>
    <w:rsid w:val="00703425"/>
    <w:rsid w:val="00703C9A"/>
    <w:rsid w:val="00703CFD"/>
    <w:rsid w:val="00703E2E"/>
    <w:rsid w:val="00703FAC"/>
    <w:rsid w:val="00704A0E"/>
    <w:rsid w:val="00704A76"/>
    <w:rsid w:val="00704B01"/>
    <w:rsid w:val="00704E72"/>
    <w:rsid w:val="0070538E"/>
    <w:rsid w:val="00705495"/>
    <w:rsid w:val="007055DE"/>
    <w:rsid w:val="007056E8"/>
    <w:rsid w:val="0070661B"/>
    <w:rsid w:val="0070698D"/>
    <w:rsid w:val="00706F45"/>
    <w:rsid w:val="00706FCE"/>
    <w:rsid w:val="00707282"/>
    <w:rsid w:val="00707892"/>
    <w:rsid w:val="00707992"/>
    <w:rsid w:val="00707ACC"/>
    <w:rsid w:val="007104DD"/>
    <w:rsid w:val="00710809"/>
    <w:rsid w:val="007108D9"/>
    <w:rsid w:val="00711196"/>
    <w:rsid w:val="00711564"/>
    <w:rsid w:val="00711B3F"/>
    <w:rsid w:val="00712024"/>
    <w:rsid w:val="007121B4"/>
    <w:rsid w:val="00712886"/>
    <w:rsid w:val="00713423"/>
    <w:rsid w:val="00713D1E"/>
    <w:rsid w:val="00713DE8"/>
    <w:rsid w:val="00714306"/>
    <w:rsid w:val="00714870"/>
    <w:rsid w:val="007150D4"/>
    <w:rsid w:val="0071544C"/>
    <w:rsid w:val="00715664"/>
    <w:rsid w:val="00715A72"/>
    <w:rsid w:val="00715EA4"/>
    <w:rsid w:val="007177FC"/>
    <w:rsid w:val="00717B75"/>
    <w:rsid w:val="00717ECB"/>
    <w:rsid w:val="00717FE8"/>
    <w:rsid w:val="007203E3"/>
    <w:rsid w:val="0072064C"/>
    <w:rsid w:val="00720710"/>
    <w:rsid w:val="00720C72"/>
    <w:rsid w:val="007213E4"/>
    <w:rsid w:val="0072161F"/>
    <w:rsid w:val="0072163E"/>
    <w:rsid w:val="007219FB"/>
    <w:rsid w:val="00721B66"/>
    <w:rsid w:val="00721D3E"/>
    <w:rsid w:val="00722F64"/>
    <w:rsid w:val="00723F70"/>
    <w:rsid w:val="00723F81"/>
    <w:rsid w:val="007241E9"/>
    <w:rsid w:val="00724A61"/>
    <w:rsid w:val="00724F8A"/>
    <w:rsid w:val="00725385"/>
    <w:rsid w:val="0072578A"/>
    <w:rsid w:val="00725F9F"/>
    <w:rsid w:val="0072662E"/>
    <w:rsid w:val="00726C8F"/>
    <w:rsid w:val="00726CB3"/>
    <w:rsid w:val="00727C11"/>
    <w:rsid w:val="00730355"/>
    <w:rsid w:val="00730825"/>
    <w:rsid w:val="00730894"/>
    <w:rsid w:val="00730D1A"/>
    <w:rsid w:val="007311D1"/>
    <w:rsid w:val="00731544"/>
    <w:rsid w:val="0073158E"/>
    <w:rsid w:val="007315F4"/>
    <w:rsid w:val="00731679"/>
    <w:rsid w:val="0073172A"/>
    <w:rsid w:val="00732773"/>
    <w:rsid w:val="00732EBC"/>
    <w:rsid w:val="00733672"/>
    <w:rsid w:val="0073379C"/>
    <w:rsid w:val="007339DE"/>
    <w:rsid w:val="00733B01"/>
    <w:rsid w:val="00733FAF"/>
    <w:rsid w:val="00733FFC"/>
    <w:rsid w:val="0073414D"/>
    <w:rsid w:val="00734191"/>
    <w:rsid w:val="00734289"/>
    <w:rsid w:val="007345C7"/>
    <w:rsid w:val="00734DB4"/>
    <w:rsid w:val="00734EF6"/>
    <w:rsid w:val="00734F10"/>
    <w:rsid w:val="00735263"/>
    <w:rsid w:val="00735626"/>
    <w:rsid w:val="007358CC"/>
    <w:rsid w:val="00735B47"/>
    <w:rsid w:val="00735C2D"/>
    <w:rsid w:val="0073630A"/>
    <w:rsid w:val="00736733"/>
    <w:rsid w:val="00736A2F"/>
    <w:rsid w:val="007371A6"/>
    <w:rsid w:val="00737264"/>
    <w:rsid w:val="00737B6E"/>
    <w:rsid w:val="00737BA6"/>
    <w:rsid w:val="007409B2"/>
    <w:rsid w:val="007409C1"/>
    <w:rsid w:val="00740BA0"/>
    <w:rsid w:val="00741015"/>
    <w:rsid w:val="00741510"/>
    <w:rsid w:val="0074157A"/>
    <w:rsid w:val="00742506"/>
    <w:rsid w:val="00742DC6"/>
    <w:rsid w:val="007433F0"/>
    <w:rsid w:val="00743AB9"/>
    <w:rsid w:val="00743ADC"/>
    <w:rsid w:val="00743CE3"/>
    <w:rsid w:val="00744416"/>
    <w:rsid w:val="00744493"/>
    <w:rsid w:val="007446F8"/>
    <w:rsid w:val="0074484C"/>
    <w:rsid w:val="00744C97"/>
    <w:rsid w:val="00745C69"/>
    <w:rsid w:val="007462EC"/>
    <w:rsid w:val="00746589"/>
    <w:rsid w:val="0074663B"/>
    <w:rsid w:val="00747DCF"/>
    <w:rsid w:val="0075090A"/>
    <w:rsid w:val="00750B94"/>
    <w:rsid w:val="00751195"/>
    <w:rsid w:val="007514A9"/>
    <w:rsid w:val="00751720"/>
    <w:rsid w:val="0075215B"/>
    <w:rsid w:val="007522AF"/>
    <w:rsid w:val="007533C9"/>
    <w:rsid w:val="007539BF"/>
    <w:rsid w:val="007539CB"/>
    <w:rsid w:val="00753F62"/>
    <w:rsid w:val="007544A9"/>
    <w:rsid w:val="007550EE"/>
    <w:rsid w:val="00755901"/>
    <w:rsid w:val="00755D9A"/>
    <w:rsid w:val="00756B31"/>
    <w:rsid w:val="00757425"/>
    <w:rsid w:val="0075771E"/>
    <w:rsid w:val="00757887"/>
    <w:rsid w:val="0075790F"/>
    <w:rsid w:val="00761795"/>
    <w:rsid w:val="00761AC8"/>
    <w:rsid w:val="00761DB1"/>
    <w:rsid w:val="0076206F"/>
    <w:rsid w:val="00762226"/>
    <w:rsid w:val="00762400"/>
    <w:rsid w:val="00762CF0"/>
    <w:rsid w:val="007632E0"/>
    <w:rsid w:val="007634AC"/>
    <w:rsid w:val="00763566"/>
    <w:rsid w:val="00764453"/>
    <w:rsid w:val="0076449D"/>
    <w:rsid w:val="00764801"/>
    <w:rsid w:val="00764C4A"/>
    <w:rsid w:val="0076515D"/>
    <w:rsid w:val="007655FA"/>
    <w:rsid w:val="007658E5"/>
    <w:rsid w:val="00765AA7"/>
    <w:rsid w:val="00765C16"/>
    <w:rsid w:val="00766003"/>
    <w:rsid w:val="007669D7"/>
    <w:rsid w:val="00766FEB"/>
    <w:rsid w:val="007679EB"/>
    <w:rsid w:val="007704CA"/>
    <w:rsid w:val="00770C8A"/>
    <w:rsid w:val="00770D94"/>
    <w:rsid w:val="007715F2"/>
    <w:rsid w:val="0077160D"/>
    <w:rsid w:val="00771631"/>
    <w:rsid w:val="00771F9B"/>
    <w:rsid w:val="00772559"/>
    <w:rsid w:val="0077261D"/>
    <w:rsid w:val="00772656"/>
    <w:rsid w:val="0077271B"/>
    <w:rsid w:val="00772ADE"/>
    <w:rsid w:val="00772D6E"/>
    <w:rsid w:val="00772F01"/>
    <w:rsid w:val="007732F1"/>
    <w:rsid w:val="00774114"/>
    <w:rsid w:val="007741FF"/>
    <w:rsid w:val="0077546B"/>
    <w:rsid w:val="007756C3"/>
    <w:rsid w:val="00775ACF"/>
    <w:rsid w:val="00776033"/>
    <w:rsid w:val="0077621D"/>
    <w:rsid w:val="007762CD"/>
    <w:rsid w:val="0077643C"/>
    <w:rsid w:val="0077684B"/>
    <w:rsid w:val="0077726D"/>
    <w:rsid w:val="00777290"/>
    <w:rsid w:val="007772E8"/>
    <w:rsid w:val="00780273"/>
    <w:rsid w:val="00780355"/>
    <w:rsid w:val="00780956"/>
    <w:rsid w:val="0078148C"/>
    <w:rsid w:val="00781619"/>
    <w:rsid w:val="00781725"/>
    <w:rsid w:val="007818C2"/>
    <w:rsid w:val="00781C82"/>
    <w:rsid w:val="0078233F"/>
    <w:rsid w:val="007828D5"/>
    <w:rsid w:val="00782A08"/>
    <w:rsid w:val="00782D8F"/>
    <w:rsid w:val="00782F00"/>
    <w:rsid w:val="00782FC5"/>
    <w:rsid w:val="00783263"/>
    <w:rsid w:val="0078357E"/>
    <w:rsid w:val="0078385A"/>
    <w:rsid w:val="007839E7"/>
    <w:rsid w:val="007841FF"/>
    <w:rsid w:val="00785009"/>
    <w:rsid w:val="0078599A"/>
    <w:rsid w:val="00785A63"/>
    <w:rsid w:val="00785E26"/>
    <w:rsid w:val="00785EFF"/>
    <w:rsid w:val="00786824"/>
    <w:rsid w:val="0078724C"/>
    <w:rsid w:val="0078751E"/>
    <w:rsid w:val="00787C9D"/>
    <w:rsid w:val="007906CA"/>
    <w:rsid w:val="00791503"/>
    <w:rsid w:val="00791816"/>
    <w:rsid w:val="00791E96"/>
    <w:rsid w:val="007934D4"/>
    <w:rsid w:val="0079394A"/>
    <w:rsid w:val="007939BD"/>
    <w:rsid w:val="00793C16"/>
    <w:rsid w:val="00793FBD"/>
    <w:rsid w:val="00795610"/>
    <w:rsid w:val="0079574C"/>
    <w:rsid w:val="00795792"/>
    <w:rsid w:val="00795B10"/>
    <w:rsid w:val="0079663A"/>
    <w:rsid w:val="00796AC3"/>
    <w:rsid w:val="00796C5E"/>
    <w:rsid w:val="00796F84"/>
    <w:rsid w:val="00796F8B"/>
    <w:rsid w:val="007970F4"/>
    <w:rsid w:val="0079775B"/>
    <w:rsid w:val="00797C38"/>
    <w:rsid w:val="00797E54"/>
    <w:rsid w:val="007A0692"/>
    <w:rsid w:val="007A0B62"/>
    <w:rsid w:val="007A11B0"/>
    <w:rsid w:val="007A1236"/>
    <w:rsid w:val="007A1760"/>
    <w:rsid w:val="007A1B02"/>
    <w:rsid w:val="007A1D32"/>
    <w:rsid w:val="007A21A0"/>
    <w:rsid w:val="007A2818"/>
    <w:rsid w:val="007A28A4"/>
    <w:rsid w:val="007A2A69"/>
    <w:rsid w:val="007A2A6F"/>
    <w:rsid w:val="007A39D3"/>
    <w:rsid w:val="007A3BDD"/>
    <w:rsid w:val="007A3D3F"/>
    <w:rsid w:val="007A3E4D"/>
    <w:rsid w:val="007A4506"/>
    <w:rsid w:val="007A4BE7"/>
    <w:rsid w:val="007A4C59"/>
    <w:rsid w:val="007A518D"/>
    <w:rsid w:val="007A57AE"/>
    <w:rsid w:val="007A6E20"/>
    <w:rsid w:val="007A6FD8"/>
    <w:rsid w:val="007A7136"/>
    <w:rsid w:val="007A73DA"/>
    <w:rsid w:val="007A7498"/>
    <w:rsid w:val="007A74B2"/>
    <w:rsid w:val="007A771E"/>
    <w:rsid w:val="007A7C64"/>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4597"/>
    <w:rsid w:val="007B47A0"/>
    <w:rsid w:val="007B5174"/>
    <w:rsid w:val="007B5336"/>
    <w:rsid w:val="007B55C5"/>
    <w:rsid w:val="007B57D2"/>
    <w:rsid w:val="007B5E43"/>
    <w:rsid w:val="007B5F3C"/>
    <w:rsid w:val="007B6CC6"/>
    <w:rsid w:val="007B6F4D"/>
    <w:rsid w:val="007B70FB"/>
    <w:rsid w:val="007B72CD"/>
    <w:rsid w:val="007B74DB"/>
    <w:rsid w:val="007B7566"/>
    <w:rsid w:val="007C0482"/>
    <w:rsid w:val="007C0E18"/>
    <w:rsid w:val="007C123C"/>
    <w:rsid w:val="007C1637"/>
    <w:rsid w:val="007C1DC9"/>
    <w:rsid w:val="007C20FE"/>
    <w:rsid w:val="007C2343"/>
    <w:rsid w:val="007C24BB"/>
    <w:rsid w:val="007C2678"/>
    <w:rsid w:val="007C3435"/>
    <w:rsid w:val="007C35A9"/>
    <w:rsid w:val="007C360B"/>
    <w:rsid w:val="007C376A"/>
    <w:rsid w:val="007C3888"/>
    <w:rsid w:val="007C4526"/>
    <w:rsid w:val="007C4A77"/>
    <w:rsid w:val="007C4AC1"/>
    <w:rsid w:val="007C4ACA"/>
    <w:rsid w:val="007C55A5"/>
    <w:rsid w:val="007C55BE"/>
    <w:rsid w:val="007C5AB5"/>
    <w:rsid w:val="007C62D0"/>
    <w:rsid w:val="007C7506"/>
    <w:rsid w:val="007C766F"/>
    <w:rsid w:val="007C7AD6"/>
    <w:rsid w:val="007C7C59"/>
    <w:rsid w:val="007C7DC7"/>
    <w:rsid w:val="007D03B3"/>
    <w:rsid w:val="007D0816"/>
    <w:rsid w:val="007D132F"/>
    <w:rsid w:val="007D15F0"/>
    <w:rsid w:val="007D178B"/>
    <w:rsid w:val="007D1B64"/>
    <w:rsid w:val="007D1F73"/>
    <w:rsid w:val="007D226F"/>
    <w:rsid w:val="007D22CE"/>
    <w:rsid w:val="007D2C50"/>
    <w:rsid w:val="007D33FA"/>
    <w:rsid w:val="007D3A86"/>
    <w:rsid w:val="007D3B12"/>
    <w:rsid w:val="007D3BC5"/>
    <w:rsid w:val="007D40F5"/>
    <w:rsid w:val="007D46D8"/>
    <w:rsid w:val="007D4892"/>
    <w:rsid w:val="007D48E9"/>
    <w:rsid w:val="007D4A1A"/>
    <w:rsid w:val="007D4D44"/>
    <w:rsid w:val="007D4DC5"/>
    <w:rsid w:val="007D53CB"/>
    <w:rsid w:val="007D561F"/>
    <w:rsid w:val="007D5857"/>
    <w:rsid w:val="007D5BB4"/>
    <w:rsid w:val="007D6246"/>
    <w:rsid w:val="007D68DB"/>
    <w:rsid w:val="007D6E43"/>
    <w:rsid w:val="007D6F86"/>
    <w:rsid w:val="007D72CB"/>
    <w:rsid w:val="007D72EB"/>
    <w:rsid w:val="007D7CDD"/>
    <w:rsid w:val="007E016B"/>
    <w:rsid w:val="007E08C9"/>
    <w:rsid w:val="007E0A12"/>
    <w:rsid w:val="007E0F8F"/>
    <w:rsid w:val="007E13A8"/>
    <w:rsid w:val="007E2236"/>
    <w:rsid w:val="007E296A"/>
    <w:rsid w:val="007E2A9F"/>
    <w:rsid w:val="007E317C"/>
    <w:rsid w:val="007E3456"/>
    <w:rsid w:val="007E35D0"/>
    <w:rsid w:val="007E3A03"/>
    <w:rsid w:val="007E3E82"/>
    <w:rsid w:val="007E44F9"/>
    <w:rsid w:val="007E47D5"/>
    <w:rsid w:val="007E4C3C"/>
    <w:rsid w:val="007E4DA6"/>
    <w:rsid w:val="007E502A"/>
    <w:rsid w:val="007E5268"/>
    <w:rsid w:val="007E53AF"/>
    <w:rsid w:val="007E5725"/>
    <w:rsid w:val="007E5937"/>
    <w:rsid w:val="007E5ED9"/>
    <w:rsid w:val="007E5EDC"/>
    <w:rsid w:val="007E6646"/>
    <w:rsid w:val="007E67D9"/>
    <w:rsid w:val="007E6C51"/>
    <w:rsid w:val="007E7232"/>
    <w:rsid w:val="007E72AB"/>
    <w:rsid w:val="007E7E0F"/>
    <w:rsid w:val="007E7EC0"/>
    <w:rsid w:val="007F0378"/>
    <w:rsid w:val="007F0684"/>
    <w:rsid w:val="007F06B6"/>
    <w:rsid w:val="007F06E8"/>
    <w:rsid w:val="007F0AF8"/>
    <w:rsid w:val="007F0E4C"/>
    <w:rsid w:val="007F1933"/>
    <w:rsid w:val="007F1B94"/>
    <w:rsid w:val="007F1F1C"/>
    <w:rsid w:val="007F219A"/>
    <w:rsid w:val="007F3130"/>
    <w:rsid w:val="007F35B8"/>
    <w:rsid w:val="007F3D80"/>
    <w:rsid w:val="007F3F16"/>
    <w:rsid w:val="007F42F0"/>
    <w:rsid w:val="007F4906"/>
    <w:rsid w:val="007F4981"/>
    <w:rsid w:val="007F6340"/>
    <w:rsid w:val="007F65DB"/>
    <w:rsid w:val="007F6761"/>
    <w:rsid w:val="007F6BC4"/>
    <w:rsid w:val="007F70D4"/>
    <w:rsid w:val="007F76B6"/>
    <w:rsid w:val="007F7ABF"/>
    <w:rsid w:val="0080073F"/>
    <w:rsid w:val="00800917"/>
    <w:rsid w:val="00801607"/>
    <w:rsid w:val="00801713"/>
    <w:rsid w:val="0080176E"/>
    <w:rsid w:val="00801B94"/>
    <w:rsid w:val="00801CB1"/>
    <w:rsid w:val="00802758"/>
    <w:rsid w:val="00802A50"/>
    <w:rsid w:val="00802A7A"/>
    <w:rsid w:val="00802AA7"/>
    <w:rsid w:val="00802B6F"/>
    <w:rsid w:val="008038AE"/>
    <w:rsid w:val="00803AAC"/>
    <w:rsid w:val="00803ACE"/>
    <w:rsid w:val="00805834"/>
    <w:rsid w:val="00805B99"/>
    <w:rsid w:val="00805D3E"/>
    <w:rsid w:val="00805EEC"/>
    <w:rsid w:val="008061C2"/>
    <w:rsid w:val="00806E9B"/>
    <w:rsid w:val="00807090"/>
    <w:rsid w:val="00807926"/>
    <w:rsid w:val="0080796B"/>
    <w:rsid w:val="00807A15"/>
    <w:rsid w:val="00807AB5"/>
    <w:rsid w:val="008100A2"/>
    <w:rsid w:val="008107F5"/>
    <w:rsid w:val="00810A75"/>
    <w:rsid w:val="00810D27"/>
    <w:rsid w:val="00810E30"/>
    <w:rsid w:val="00810ED7"/>
    <w:rsid w:val="00811057"/>
    <w:rsid w:val="0081169E"/>
    <w:rsid w:val="008123D4"/>
    <w:rsid w:val="00812B2D"/>
    <w:rsid w:val="00812C4E"/>
    <w:rsid w:val="00813AEB"/>
    <w:rsid w:val="00814049"/>
    <w:rsid w:val="00814CAD"/>
    <w:rsid w:val="0081580E"/>
    <w:rsid w:val="00815914"/>
    <w:rsid w:val="00815BB1"/>
    <w:rsid w:val="0081623E"/>
    <w:rsid w:val="00816340"/>
    <w:rsid w:val="008177AE"/>
    <w:rsid w:val="00817D96"/>
    <w:rsid w:val="00817E6F"/>
    <w:rsid w:val="00817F9A"/>
    <w:rsid w:val="00820896"/>
    <w:rsid w:val="00821A07"/>
    <w:rsid w:val="008227FA"/>
    <w:rsid w:val="008229A2"/>
    <w:rsid w:val="0082443D"/>
    <w:rsid w:val="00824A9E"/>
    <w:rsid w:val="00824E44"/>
    <w:rsid w:val="00825ED1"/>
    <w:rsid w:val="00825EDB"/>
    <w:rsid w:val="00825F58"/>
    <w:rsid w:val="008264EB"/>
    <w:rsid w:val="008267E6"/>
    <w:rsid w:val="008268CF"/>
    <w:rsid w:val="00826DEF"/>
    <w:rsid w:val="008270EE"/>
    <w:rsid w:val="008273A3"/>
    <w:rsid w:val="0082744A"/>
    <w:rsid w:val="00827497"/>
    <w:rsid w:val="008275A9"/>
    <w:rsid w:val="0083026B"/>
    <w:rsid w:val="008307F9"/>
    <w:rsid w:val="00830845"/>
    <w:rsid w:val="0083098F"/>
    <w:rsid w:val="008309E1"/>
    <w:rsid w:val="00831472"/>
    <w:rsid w:val="008327F0"/>
    <w:rsid w:val="00832922"/>
    <w:rsid w:val="008329FF"/>
    <w:rsid w:val="00832ECB"/>
    <w:rsid w:val="0083302B"/>
    <w:rsid w:val="00833526"/>
    <w:rsid w:val="008336EE"/>
    <w:rsid w:val="008340EC"/>
    <w:rsid w:val="00834B47"/>
    <w:rsid w:val="00835459"/>
    <w:rsid w:val="00836259"/>
    <w:rsid w:val="00836AC7"/>
    <w:rsid w:val="00836C77"/>
    <w:rsid w:val="00836E1B"/>
    <w:rsid w:val="008376CD"/>
    <w:rsid w:val="0083793C"/>
    <w:rsid w:val="00837BB6"/>
    <w:rsid w:val="00837C92"/>
    <w:rsid w:val="00837F0F"/>
    <w:rsid w:val="00837FEE"/>
    <w:rsid w:val="008404E0"/>
    <w:rsid w:val="008416E5"/>
    <w:rsid w:val="00841A00"/>
    <w:rsid w:val="0084210C"/>
    <w:rsid w:val="00842BBA"/>
    <w:rsid w:val="00842D41"/>
    <w:rsid w:val="00842E56"/>
    <w:rsid w:val="00843029"/>
    <w:rsid w:val="00843420"/>
    <w:rsid w:val="00843B5D"/>
    <w:rsid w:val="00843F87"/>
    <w:rsid w:val="008447D4"/>
    <w:rsid w:val="0084506C"/>
    <w:rsid w:val="008454BD"/>
    <w:rsid w:val="00845B66"/>
    <w:rsid w:val="008463F3"/>
    <w:rsid w:val="00846509"/>
    <w:rsid w:val="008467CB"/>
    <w:rsid w:val="008467D3"/>
    <w:rsid w:val="00846845"/>
    <w:rsid w:val="00846D76"/>
    <w:rsid w:val="00847650"/>
    <w:rsid w:val="008476DC"/>
    <w:rsid w:val="00847829"/>
    <w:rsid w:val="008479B1"/>
    <w:rsid w:val="0085005F"/>
    <w:rsid w:val="008500F5"/>
    <w:rsid w:val="0085062F"/>
    <w:rsid w:val="00851307"/>
    <w:rsid w:val="008515B1"/>
    <w:rsid w:val="00851C40"/>
    <w:rsid w:val="00852508"/>
    <w:rsid w:val="00852578"/>
    <w:rsid w:val="00852E5B"/>
    <w:rsid w:val="0085323E"/>
    <w:rsid w:val="008535EB"/>
    <w:rsid w:val="00853677"/>
    <w:rsid w:val="00853A88"/>
    <w:rsid w:val="00853ACD"/>
    <w:rsid w:val="00853ACF"/>
    <w:rsid w:val="00853F1F"/>
    <w:rsid w:val="008544D3"/>
    <w:rsid w:val="00854AD2"/>
    <w:rsid w:val="00855089"/>
    <w:rsid w:val="008558A1"/>
    <w:rsid w:val="00855A1E"/>
    <w:rsid w:val="00855DEB"/>
    <w:rsid w:val="0085642F"/>
    <w:rsid w:val="0085717F"/>
    <w:rsid w:val="008573AF"/>
    <w:rsid w:val="008573F8"/>
    <w:rsid w:val="00857645"/>
    <w:rsid w:val="00857D80"/>
    <w:rsid w:val="008602FC"/>
    <w:rsid w:val="00860989"/>
    <w:rsid w:val="00860CF9"/>
    <w:rsid w:val="008614A8"/>
    <w:rsid w:val="00861DEF"/>
    <w:rsid w:val="008622D3"/>
    <w:rsid w:val="0086268A"/>
    <w:rsid w:val="00862BD4"/>
    <w:rsid w:val="00862BFA"/>
    <w:rsid w:val="00862EE5"/>
    <w:rsid w:val="008639A2"/>
    <w:rsid w:val="00863BBB"/>
    <w:rsid w:val="008640FD"/>
    <w:rsid w:val="0086426C"/>
    <w:rsid w:val="008644D5"/>
    <w:rsid w:val="00864A96"/>
    <w:rsid w:val="00864E19"/>
    <w:rsid w:val="00865020"/>
    <w:rsid w:val="0086564F"/>
    <w:rsid w:val="00865681"/>
    <w:rsid w:val="00865C9A"/>
    <w:rsid w:val="00866618"/>
    <w:rsid w:val="00867578"/>
    <w:rsid w:val="00867B6B"/>
    <w:rsid w:val="00867FDD"/>
    <w:rsid w:val="0087000F"/>
    <w:rsid w:val="008706D6"/>
    <w:rsid w:val="00870788"/>
    <w:rsid w:val="00870923"/>
    <w:rsid w:val="00870A8A"/>
    <w:rsid w:val="00870AFC"/>
    <w:rsid w:val="00870F67"/>
    <w:rsid w:val="00870F6E"/>
    <w:rsid w:val="008715CC"/>
    <w:rsid w:val="00872589"/>
    <w:rsid w:val="00872770"/>
    <w:rsid w:val="00873125"/>
    <w:rsid w:val="008731F2"/>
    <w:rsid w:val="00873754"/>
    <w:rsid w:val="00873CF3"/>
    <w:rsid w:val="008746D7"/>
    <w:rsid w:val="008752FC"/>
    <w:rsid w:val="00875FA4"/>
    <w:rsid w:val="008763C8"/>
    <w:rsid w:val="0087656D"/>
    <w:rsid w:val="0087672D"/>
    <w:rsid w:val="008779E9"/>
    <w:rsid w:val="00877D2C"/>
    <w:rsid w:val="00877D6E"/>
    <w:rsid w:val="00877E35"/>
    <w:rsid w:val="0088014E"/>
    <w:rsid w:val="00880AA4"/>
    <w:rsid w:val="00880BAB"/>
    <w:rsid w:val="008812A7"/>
    <w:rsid w:val="008817FF"/>
    <w:rsid w:val="0088239C"/>
    <w:rsid w:val="00882745"/>
    <w:rsid w:val="008828F7"/>
    <w:rsid w:val="00882946"/>
    <w:rsid w:val="00882A65"/>
    <w:rsid w:val="00882C4D"/>
    <w:rsid w:val="00882D67"/>
    <w:rsid w:val="00882E58"/>
    <w:rsid w:val="0088318D"/>
    <w:rsid w:val="008835B1"/>
    <w:rsid w:val="00883B3F"/>
    <w:rsid w:val="00884A91"/>
    <w:rsid w:val="008851BE"/>
    <w:rsid w:val="00885538"/>
    <w:rsid w:val="00885960"/>
    <w:rsid w:val="00885ADA"/>
    <w:rsid w:val="00886188"/>
    <w:rsid w:val="0088651F"/>
    <w:rsid w:val="00886632"/>
    <w:rsid w:val="00887063"/>
    <w:rsid w:val="00887798"/>
    <w:rsid w:val="0088796B"/>
    <w:rsid w:val="00887D83"/>
    <w:rsid w:val="00887F1B"/>
    <w:rsid w:val="008900CF"/>
    <w:rsid w:val="008903F8"/>
    <w:rsid w:val="00890709"/>
    <w:rsid w:val="00891AE3"/>
    <w:rsid w:val="00891D67"/>
    <w:rsid w:val="00892165"/>
    <w:rsid w:val="008922CF"/>
    <w:rsid w:val="008923D1"/>
    <w:rsid w:val="008925B9"/>
    <w:rsid w:val="00892827"/>
    <w:rsid w:val="00892AEE"/>
    <w:rsid w:val="008937AC"/>
    <w:rsid w:val="008937CB"/>
    <w:rsid w:val="00893EA3"/>
    <w:rsid w:val="00893FF7"/>
    <w:rsid w:val="0089427B"/>
    <w:rsid w:val="008942A5"/>
    <w:rsid w:val="0089483C"/>
    <w:rsid w:val="00894A6B"/>
    <w:rsid w:val="00894A7F"/>
    <w:rsid w:val="00895DCC"/>
    <w:rsid w:val="00895E5A"/>
    <w:rsid w:val="008962BC"/>
    <w:rsid w:val="008973BA"/>
    <w:rsid w:val="00897502"/>
    <w:rsid w:val="00897602"/>
    <w:rsid w:val="00897855"/>
    <w:rsid w:val="008A03C3"/>
    <w:rsid w:val="008A045F"/>
    <w:rsid w:val="008A0B6D"/>
    <w:rsid w:val="008A0E02"/>
    <w:rsid w:val="008A0E63"/>
    <w:rsid w:val="008A0F85"/>
    <w:rsid w:val="008A173F"/>
    <w:rsid w:val="008A1EFD"/>
    <w:rsid w:val="008A1F90"/>
    <w:rsid w:val="008A211F"/>
    <w:rsid w:val="008A2385"/>
    <w:rsid w:val="008A2790"/>
    <w:rsid w:val="008A279B"/>
    <w:rsid w:val="008A2830"/>
    <w:rsid w:val="008A2C5D"/>
    <w:rsid w:val="008A30BD"/>
    <w:rsid w:val="008A3C32"/>
    <w:rsid w:val="008A444A"/>
    <w:rsid w:val="008A46CB"/>
    <w:rsid w:val="008A4876"/>
    <w:rsid w:val="008A4B83"/>
    <w:rsid w:val="008A4F57"/>
    <w:rsid w:val="008A52CE"/>
    <w:rsid w:val="008A544C"/>
    <w:rsid w:val="008A574C"/>
    <w:rsid w:val="008A5BC7"/>
    <w:rsid w:val="008A67A1"/>
    <w:rsid w:val="008A6A25"/>
    <w:rsid w:val="008A720F"/>
    <w:rsid w:val="008A77BD"/>
    <w:rsid w:val="008A7949"/>
    <w:rsid w:val="008A7A03"/>
    <w:rsid w:val="008A7B45"/>
    <w:rsid w:val="008B0BA7"/>
    <w:rsid w:val="008B0E9B"/>
    <w:rsid w:val="008B103F"/>
    <w:rsid w:val="008B12FC"/>
    <w:rsid w:val="008B1C8C"/>
    <w:rsid w:val="008B1E06"/>
    <w:rsid w:val="008B20A4"/>
    <w:rsid w:val="008B2F1A"/>
    <w:rsid w:val="008B31AD"/>
    <w:rsid w:val="008B329A"/>
    <w:rsid w:val="008B331F"/>
    <w:rsid w:val="008B3960"/>
    <w:rsid w:val="008B3A87"/>
    <w:rsid w:val="008B3C1B"/>
    <w:rsid w:val="008B3C1F"/>
    <w:rsid w:val="008B3D7A"/>
    <w:rsid w:val="008B4243"/>
    <w:rsid w:val="008B47F4"/>
    <w:rsid w:val="008B4953"/>
    <w:rsid w:val="008B4E19"/>
    <w:rsid w:val="008B4F72"/>
    <w:rsid w:val="008B58E4"/>
    <w:rsid w:val="008B5A61"/>
    <w:rsid w:val="008B5F58"/>
    <w:rsid w:val="008B6190"/>
    <w:rsid w:val="008B6231"/>
    <w:rsid w:val="008B6367"/>
    <w:rsid w:val="008B63AD"/>
    <w:rsid w:val="008B6939"/>
    <w:rsid w:val="008B6A05"/>
    <w:rsid w:val="008B6ADB"/>
    <w:rsid w:val="008B7546"/>
    <w:rsid w:val="008B7ECB"/>
    <w:rsid w:val="008C0557"/>
    <w:rsid w:val="008C0771"/>
    <w:rsid w:val="008C0845"/>
    <w:rsid w:val="008C1779"/>
    <w:rsid w:val="008C1DC1"/>
    <w:rsid w:val="008C287C"/>
    <w:rsid w:val="008C28B3"/>
    <w:rsid w:val="008C3591"/>
    <w:rsid w:val="008C3982"/>
    <w:rsid w:val="008C3A88"/>
    <w:rsid w:val="008C3AC1"/>
    <w:rsid w:val="008C3D73"/>
    <w:rsid w:val="008C41CD"/>
    <w:rsid w:val="008C44FA"/>
    <w:rsid w:val="008C482E"/>
    <w:rsid w:val="008C4E96"/>
    <w:rsid w:val="008C4EB8"/>
    <w:rsid w:val="008C4FFE"/>
    <w:rsid w:val="008C51AD"/>
    <w:rsid w:val="008C5A8B"/>
    <w:rsid w:val="008C61B0"/>
    <w:rsid w:val="008C6E3D"/>
    <w:rsid w:val="008C6FD3"/>
    <w:rsid w:val="008C70EB"/>
    <w:rsid w:val="008C71DE"/>
    <w:rsid w:val="008C7C23"/>
    <w:rsid w:val="008C7FA7"/>
    <w:rsid w:val="008D0E8E"/>
    <w:rsid w:val="008D155D"/>
    <w:rsid w:val="008D15E6"/>
    <w:rsid w:val="008D229E"/>
    <w:rsid w:val="008D24C5"/>
    <w:rsid w:val="008D24FA"/>
    <w:rsid w:val="008D2F91"/>
    <w:rsid w:val="008D36D2"/>
    <w:rsid w:val="008D3E05"/>
    <w:rsid w:val="008D3FE4"/>
    <w:rsid w:val="008D415F"/>
    <w:rsid w:val="008D463D"/>
    <w:rsid w:val="008D536E"/>
    <w:rsid w:val="008D5506"/>
    <w:rsid w:val="008D5659"/>
    <w:rsid w:val="008D57A3"/>
    <w:rsid w:val="008D5C9A"/>
    <w:rsid w:val="008D5D6F"/>
    <w:rsid w:val="008D5DAB"/>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B3"/>
    <w:rsid w:val="008E054A"/>
    <w:rsid w:val="008E08F2"/>
    <w:rsid w:val="008E0DE2"/>
    <w:rsid w:val="008E0EF1"/>
    <w:rsid w:val="008E19E9"/>
    <w:rsid w:val="008E1A0B"/>
    <w:rsid w:val="008E1CA4"/>
    <w:rsid w:val="008E22E0"/>
    <w:rsid w:val="008E260B"/>
    <w:rsid w:val="008E2BCC"/>
    <w:rsid w:val="008E52E7"/>
    <w:rsid w:val="008E53DB"/>
    <w:rsid w:val="008E5A4E"/>
    <w:rsid w:val="008E5C8F"/>
    <w:rsid w:val="008E646A"/>
    <w:rsid w:val="008E68B9"/>
    <w:rsid w:val="008E6D37"/>
    <w:rsid w:val="008E6F52"/>
    <w:rsid w:val="008E6F6B"/>
    <w:rsid w:val="008E712B"/>
    <w:rsid w:val="008E7155"/>
    <w:rsid w:val="008E71FB"/>
    <w:rsid w:val="008E7365"/>
    <w:rsid w:val="008E78ED"/>
    <w:rsid w:val="008F0248"/>
    <w:rsid w:val="008F07B8"/>
    <w:rsid w:val="008F0932"/>
    <w:rsid w:val="008F0945"/>
    <w:rsid w:val="008F0A86"/>
    <w:rsid w:val="008F0AB8"/>
    <w:rsid w:val="008F0EF5"/>
    <w:rsid w:val="008F1238"/>
    <w:rsid w:val="008F14CA"/>
    <w:rsid w:val="008F24BD"/>
    <w:rsid w:val="008F257A"/>
    <w:rsid w:val="008F2A47"/>
    <w:rsid w:val="008F35D9"/>
    <w:rsid w:val="008F3793"/>
    <w:rsid w:val="008F3F41"/>
    <w:rsid w:val="008F438C"/>
    <w:rsid w:val="008F43D6"/>
    <w:rsid w:val="008F45BC"/>
    <w:rsid w:val="008F48C6"/>
    <w:rsid w:val="008F49F3"/>
    <w:rsid w:val="008F525C"/>
    <w:rsid w:val="008F5309"/>
    <w:rsid w:val="008F540C"/>
    <w:rsid w:val="008F58A7"/>
    <w:rsid w:val="008F6060"/>
    <w:rsid w:val="008F6426"/>
    <w:rsid w:val="008F6AB0"/>
    <w:rsid w:val="008F6B8B"/>
    <w:rsid w:val="0090097F"/>
    <w:rsid w:val="00900D92"/>
    <w:rsid w:val="0090146E"/>
    <w:rsid w:val="009015F4"/>
    <w:rsid w:val="00901E4D"/>
    <w:rsid w:val="0090296B"/>
    <w:rsid w:val="00902972"/>
    <w:rsid w:val="00903424"/>
    <w:rsid w:val="00904206"/>
    <w:rsid w:val="0090441B"/>
    <w:rsid w:val="00905456"/>
    <w:rsid w:val="00905BE3"/>
    <w:rsid w:val="0090621C"/>
    <w:rsid w:val="00906618"/>
    <w:rsid w:val="00906BB6"/>
    <w:rsid w:val="00906C4A"/>
    <w:rsid w:val="00907986"/>
    <w:rsid w:val="00907D90"/>
    <w:rsid w:val="00910078"/>
    <w:rsid w:val="009104AB"/>
    <w:rsid w:val="00910866"/>
    <w:rsid w:val="0091095D"/>
    <w:rsid w:val="00910D99"/>
    <w:rsid w:val="00910E2C"/>
    <w:rsid w:val="009110AD"/>
    <w:rsid w:val="009111CC"/>
    <w:rsid w:val="009114FF"/>
    <w:rsid w:val="00911A79"/>
    <w:rsid w:val="00911D8B"/>
    <w:rsid w:val="00911DAD"/>
    <w:rsid w:val="00912464"/>
    <w:rsid w:val="009127CC"/>
    <w:rsid w:val="00912D42"/>
    <w:rsid w:val="009133DD"/>
    <w:rsid w:val="00914525"/>
    <w:rsid w:val="00914722"/>
    <w:rsid w:val="009151EB"/>
    <w:rsid w:val="00915465"/>
    <w:rsid w:val="009158B9"/>
    <w:rsid w:val="00915A71"/>
    <w:rsid w:val="009160F5"/>
    <w:rsid w:val="0091620A"/>
    <w:rsid w:val="00916301"/>
    <w:rsid w:val="00916863"/>
    <w:rsid w:val="0091688E"/>
    <w:rsid w:val="00916F1E"/>
    <w:rsid w:val="00917458"/>
    <w:rsid w:val="00917CA8"/>
    <w:rsid w:val="0092096D"/>
    <w:rsid w:val="00920975"/>
    <w:rsid w:val="009217B9"/>
    <w:rsid w:val="00921D9C"/>
    <w:rsid w:val="00921E56"/>
    <w:rsid w:val="009221ED"/>
    <w:rsid w:val="0092259C"/>
    <w:rsid w:val="009228A9"/>
    <w:rsid w:val="009234E2"/>
    <w:rsid w:val="00923EDA"/>
    <w:rsid w:val="00926AD0"/>
    <w:rsid w:val="00926F12"/>
    <w:rsid w:val="009278EB"/>
    <w:rsid w:val="00927C90"/>
    <w:rsid w:val="00927DE3"/>
    <w:rsid w:val="00930591"/>
    <w:rsid w:val="00930609"/>
    <w:rsid w:val="00930B72"/>
    <w:rsid w:val="0093110E"/>
    <w:rsid w:val="0093122C"/>
    <w:rsid w:val="009316C7"/>
    <w:rsid w:val="0093196E"/>
    <w:rsid w:val="00931A58"/>
    <w:rsid w:val="00932113"/>
    <w:rsid w:val="00932670"/>
    <w:rsid w:val="00932AD7"/>
    <w:rsid w:val="00932AFD"/>
    <w:rsid w:val="00932DAC"/>
    <w:rsid w:val="00932E71"/>
    <w:rsid w:val="009332E0"/>
    <w:rsid w:val="00934DE7"/>
    <w:rsid w:val="00935130"/>
    <w:rsid w:val="00935153"/>
    <w:rsid w:val="009352C5"/>
    <w:rsid w:val="00935534"/>
    <w:rsid w:val="0093562F"/>
    <w:rsid w:val="0093573A"/>
    <w:rsid w:val="00935929"/>
    <w:rsid w:val="009359EE"/>
    <w:rsid w:val="00935F61"/>
    <w:rsid w:val="009360BB"/>
    <w:rsid w:val="00936981"/>
    <w:rsid w:val="00936B1F"/>
    <w:rsid w:val="0093775C"/>
    <w:rsid w:val="00937887"/>
    <w:rsid w:val="009379F0"/>
    <w:rsid w:val="00937A67"/>
    <w:rsid w:val="00937BEC"/>
    <w:rsid w:val="0094055F"/>
    <w:rsid w:val="00940757"/>
    <w:rsid w:val="00941A0C"/>
    <w:rsid w:val="00941A8A"/>
    <w:rsid w:val="00941FF5"/>
    <w:rsid w:val="00942B2E"/>
    <w:rsid w:val="00942DF0"/>
    <w:rsid w:val="00943238"/>
    <w:rsid w:val="00943464"/>
    <w:rsid w:val="009434EB"/>
    <w:rsid w:val="00943572"/>
    <w:rsid w:val="00943CFE"/>
    <w:rsid w:val="00943F96"/>
    <w:rsid w:val="00943FA2"/>
    <w:rsid w:val="0094494D"/>
    <w:rsid w:val="00944BA5"/>
    <w:rsid w:val="00944E59"/>
    <w:rsid w:val="00944FD3"/>
    <w:rsid w:val="00945401"/>
    <w:rsid w:val="009456F4"/>
    <w:rsid w:val="009459F4"/>
    <w:rsid w:val="00945ABE"/>
    <w:rsid w:val="00945E58"/>
    <w:rsid w:val="00945F58"/>
    <w:rsid w:val="00946127"/>
    <w:rsid w:val="0094689D"/>
    <w:rsid w:val="00946907"/>
    <w:rsid w:val="00947607"/>
    <w:rsid w:val="009477F9"/>
    <w:rsid w:val="009505EB"/>
    <w:rsid w:val="00950CAE"/>
    <w:rsid w:val="00951164"/>
    <w:rsid w:val="009512EC"/>
    <w:rsid w:val="00952E7D"/>
    <w:rsid w:val="0095315A"/>
    <w:rsid w:val="009534DD"/>
    <w:rsid w:val="009535C2"/>
    <w:rsid w:val="00953A73"/>
    <w:rsid w:val="0095432C"/>
    <w:rsid w:val="00954BB2"/>
    <w:rsid w:val="00954D5A"/>
    <w:rsid w:val="009551A8"/>
    <w:rsid w:val="00955540"/>
    <w:rsid w:val="00955665"/>
    <w:rsid w:val="00955C1A"/>
    <w:rsid w:val="00956984"/>
    <w:rsid w:val="009569BE"/>
    <w:rsid w:val="009569E3"/>
    <w:rsid w:val="00956B6C"/>
    <w:rsid w:val="00957932"/>
    <w:rsid w:val="00957B5B"/>
    <w:rsid w:val="009601CB"/>
    <w:rsid w:val="0096059A"/>
    <w:rsid w:val="0096081E"/>
    <w:rsid w:val="00960C64"/>
    <w:rsid w:val="00960D39"/>
    <w:rsid w:val="00960F7E"/>
    <w:rsid w:val="009611A5"/>
    <w:rsid w:val="00961279"/>
    <w:rsid w:val="0096193B"/>
    <w:rsid w:val="00961B25"/>
    <w:rsid w:val="009622A5"/>
    <w:rsid w:val="0096267A"/>
    <w:rsid w:val="009629FE"/>
    <w:rsid w:val="00963188"/>
    <w:rsid w:val="00963240"/>
    <w:rsid w:val="00963957"/>
    <w:rsid w:val="00963B82"/>
    <w:rsid w:val="00964475"/>
    <w:rsid w:val="00964A6E"/>
    <w:rsid w:val="00964FB4"/>
    <w:rsid w:val="0096582E"/>
    <w:rsid w:val="00965DAE"/>
    <w:rsid w:val="009666BD"/>
    <w:rsid w:val="00966B91"/>
    <w:rsid w:val="00966BFB"/>
    <w:rsid w:val="00966FF8"/>
    <w:rsid w:val="0096749A"/>
    <w:rsid w:val="00967CDA"/>
    <w:rsid w:val="00970048"/>
    <w:rsid w:val="00971831"/>
    <w:rsid w:val="00971CAF"/>
    <w:rsid w:val="00971F8D"/>
    <w:rsid w:val="0097216D"/>
    <w:rsid w:val="00972D8F"/>
    <w:rsid w:val="00973C2B"/>
    <w:rsid w:val="00974255"/>
    <w:rsid w:val="0097437B"/>
    <w:rsid w:val="0097441E"/>
    <w:rsid w:val="00975466"/>
    <w:rsid w:val="00975740"/>
    <w:rsid w:val="00975990"/>
    <w:rsid w:val="00975FB0"/>
    <w:rsid w:val="009762C7"/>
    <w:rsid w:val="0097670F"/>
    <w:rsid w:val="00976C61"/>
    <w:rsid w:val="0097710C"/>
    <w:rsid w:val="009803EC"/>
    <w:rsid w:val="00980DC7"/>
    <w:rsid w:val="00981215"/>
    <w:rsid w:val="009812AC"/>
    <w:rsid w:val="009812FC"/>
    <w:rsid w:val="009813BF"/>
    <w:rsid w:val="009816E3"/>
    <w:rsid w:val="009819CD"/>
    <w:rsid w:val="00981AC2"/>
    <w:rsid w:val="00982032"/>
    <w:rsid w:val="009824DD"/>
    <w:rsid w:val="00982C0D"/>
    <w:rsid w:val="009834ED"/>
    <w:rsid w:val="00983D98"/>
    <w:rsid w:val="009844B4"/>
    <w:rsid w:val="0098453B"/>
    <w:rsid w:val="0098461D"/>
    <w:rsid w:val="009849BE"/>
    <w:rsid w:val="00984BB9"/>
    <w:rsid w:val="00984D82"/>
    <w:rsid w:val="0098572B"/>
    <w:rsid w:val="00985CDA"/>
    <w:rsid w:val="0098603A"/>
    <w:rsid w:val="00986137"/>
    <w:rsid w:val="00986B96"/>
    <w:rsid w:val="0098740B"/>
    <w:rsid w:val="00987506"/>
    <w:rsid w:val="00987512"/>
    <w:rsid w:val="00987C6F"/>
    <w:rsid w:val="00990117"/>
    <w:rsid w:val="0099018C"/>
    <w:rsid w:val="00990708"/>
    <w:rsid w:val="00990718"/>
    <w:rsid w:val="00990C3D"/>
    <w:rsid w:val="009914A3"/>
    <w:rsid w:val="0099199D"/>
    <w:rsid w:val="00991B9A"/>
    <w:rsid w:val="0099238D"/>
    <w:rsid w:val="0099242C"/>
    <w:rsid w:val="00992837"/>
    <w:rsid w:val="00992A01"/>
    <w:rsid w:val="00993499"/>
    <w:rsid w:val="009934DB"/>
    <w:rsid w:val="009939CB"/>
    <w:rsid w:val="00993D95"/>
    <w:rsid w:val="00994409"/>
    <w:rsid w:val="009945C0"/>
    <w:rsid w:val="009948FE"/>
    <w:rsid w:val="009949AE"/>
    <w:rsid w:val="00994D20"/>
    <w:rsid w:val="00994D3D"/>
    <w:rsid w:val="00995267"/>
    <w:rsid w:val="009952F4"/>
    <w:rsid w:val="00995756"/>
    <w:rsid w:val="00995B58"/>
    <w:rsid w:val="00995B8C"/>
    <w:rsid w:val="00995E08"/>
    <w:rsid w:val="00996468"/>
    <w:rsid w:val="009966AD"/>
    <w:rsid w:val="009967AF"/>
    <w:rsid w:val="00997125"/>
    <w:rsid w:val="00997F39"/>
    <w:rsid w:val="009A0208"/>
    <w:rsid w:val="009A03AC"/>
    <w:rsid w:val="009A0B05"/>
    <w:rsid w:val="009A0BE4"/>
    <w:rsid w:val="009A0C34"/>
    <w:rsid w:val="009A1089"/>
    <w:rsid w:val="009A1B80"/>
    <w:rsid w:val="009A1D3F"/>
    <w:rsid w:val="009A1F44"/>
    <w:rsid w:val="009A21EE"/>
    <w:rsid w:val="009A24A0"/>
    <w:rsid w:val="009A253B"/>
    <w:rsid w:val="009A3205"/>
    <w:rsid w:val="009A346F"/>
    <w:rsid w:val="009A3C6E"/>
    <w:rsid w:val="009A3CC7"/>
    <w:rsid w:val="009A3DA2"/>
    <w:rsid w:val="009A49BD"/>
    <w:rsid w:val="009A4E70"/>
    <w:rsid w:val="009A640C"/>
    <w:rsid w:val="009A671A"/>
    <w:rsid w:val="009A6A04"/>
    <w:rsid w:val="009A6A34"/>
    <w:rsid w:val="009A78A6"/>
    <w:rsid w:val="009A7BB0"/>
    <w:rsid w:val="009B01AE"/>
    <w:rsid w:val="009B04F2"/>
    <w:rsid w:val="009B0A43"/>
    <w:rsid w:val="009B0EAE"/>
    <w:rsid w:val="009B123D"/>
    <w:rsid w:val="009B12D4"/>
    <w:rsid w:val="009B1C1B"/>
    <w:rsid w:val="009B1E55"/>
    <w:rsid w:val="009B1FF8"/>
    <w:rsid w:val="009B22AC"/>
    <w:rsid w:val="009B23BE"/>
    <w:rsid w:val="009B35B9"/>
    <w:rsid w:val="009B35BF"/>
    <w:rsid w:val="009B4C28"/>
    <w:rsid w:val="009B4C3E"/>
    <w:rsid w:val="009B4D2F"/>
    <w:rsid w:val="009B5038"/>
    <w:rsid w:val="009B56BE"/>
    <w:rsid w:val="009B573C"/>
    <w:rsid w:val="009B5C8F"/>
    <w:rsid w:val="009B6071"/>
    <w:rsid w:val="009B65D5"/>
    <w:rsid w:val="009B6E0F"/>
    <w:rsid w:val="009B6EF9"/>
    <w:rsid w:val="009B7356"/>
    <w:rsid w:val="009B78A7"/>
    <w:rsid w:val="009B7A8A"/>
    <w:rsid w:val="009C03A2"/>
    <w:rsid w:val="009C099B"/>
    <w:rsid w:val="009C0B86"/>
    <w:rsid w:val="009C113F"/>
    <w:rsid w:val="009C1832"/>
    <w:rsid w:val="009C1978"/>
    <w:rsid w:val="009C1ADB"/>
    <w:rsid w:val="009C353A"/>
    <w:rsid w:val="009C36D1"/>
    <w:rsid w:val="009C37BF"/>
    <w:rsid w:val="009C398A"/>
    <w:rsid w:val="009C39D9"/>
    <w:rsid w:val="009C407C"/>
    <w:rsid w:val="009C4676"/>
    <w:rsid w:val="009C4ADF"/>
    <w:rsid w:val="009C5263"/>
    <w:rsid w:val="009C576C"/>
    <w:rsid w:val="009C5BB9"/>
    <w:rsid w:val="009C5FC3"/>
    <w:rsid w:val="009C60E9"/>
    <w:rsid w:val="009C6629"/>
    <w:rsid w:val="009C7896"/>
    <w:rsid w:val="009C79FD"/>
    <w:rsid w:val="009C7E85"/>
    <w:rsid w:val="009D014A"/>
    <w:rsid w:val="009D0530"/>
    <w:rsid w:val="009D0C23"/>
    <w:rsid w:val="009D0CF4"/>
    <w:rsid w:val="009D0D52"/>
    <w:rsid w:val="009D140A"/>
    <w:rsid w:val="009D16C5"/>
    <w:rsid w:val="009D1A74"/>
    <w:rsid w:val="009D1C65"/>
    <w:rsid w:val="009D2B87"/>
    <w:rsid w:val="009D2C76"/>
    <w:rsid w:val="009D2CDC"/>
    <w:rsid w:val="009D3079"/>
    <w:rsid w:val="009D313C"/>
    <w:rsid w:val="009D39E1"/>
    <w:rsid w:val="009D3D90"/>
    <w:rsid w:val="009D4060"/>
    <w:rsid w:val="009D43C4"/>
    <w:rsid w:val="009D4831"/>
    <w:rsid w:val="009D4AF8"/>
    <w:rsid w:val="009D4C5D"/>
    <w:rsid w:val="009D5B6B"/>
    <w:rsid w:val="009D645F"/>
    <w:rsid w:val="009D6D3F"/>
    <w:rsid w:val="009D7410"/>
    <w:rsid w:val="009D7601"/>
    <w:rsid w:val="009D7622"/>
    <w:rsid w:val="009E055D"/>
    <w:rsid w:val="009E09DF"/>
    <w:rsid w:val="009E0BE2"/>
    <w:rsid w:val="009E0D0F"/>
    <w:rsid w:val="009E137C"/>
    <w:rsid w:val="009E188B"/>
    <w:rsid w:val="009E1908"/>
    <w:rsid w:val="009E1A9B"/>
    <w:rsid w:val="009E2463"/>
    <w:rsid w:val="009E262E"/>
    <w:rsid w:val="009E2B4C"/>
    <w:rsid w:val="009E2C55"/>
    <w:rsid w:val="009E2E3F"/>
    <w:rsid w:val="009E2FAC"/>
    <w:rsid w:val="009E44A4"/>
    <w:rsid w:val="009E4A34"/>
    <w:rsid w:val="009E4E3B"/>
    <w:rsid w:val="009E59F4"/>
    <w:rsid w:val="009E5DD3"/>
    <w:rsid w:val="009E5EDA"/>
    <w:rsid w:val="009E61B0"/>
    <w:rsid w:val="009E622E"/>
    <w:rsid w:val="009E6387"/>
    <w:rsid w:val="009E63F0"/>
    <w:rsid w:val="009E7209"/>
    <w:rsid w:val="009E760A"/>
    <w:rsid w:val="009E7BCD"/>
    <w:rsid w:val="009E7BFC"/>
    <w:rsid w:val="009E7CC4"/>
    <w:rsid w:val="009F012F"/>
    <w:rsid w:val="009F0217"/>
    <w:rsid w:val="009F05AC"/>
    <w:rsid w:val="009F0707"/>
    <w:rsid w:val="009F086C"/>
    <w:rsid w:val="009F09BE"/>
    <w:rsid w:val="009F1191"/>
    <w:rsid w:val="009F1443"/>
    <w:rsid w:val="009F1448"/>
    <w:rsid w:val="009F1778"/>
    <w:rsid w:val="009F1949"/>
    <w:rsid w:val="009F1EEE"/>
    <w:rsid w:val="009F1F3F"/>
    <w:rsid w:val="009F2131"/>
    <w:rsid w:val="009F239C"/>
    <w:rsid w:val="009F274F"/>
    <w:rsid w:val="009F2E88"/>
    <w:rsid w:val="009F39A1"/>
    <w:rsid w:val="009F3FE4"/>
    <w:rsid w:val="009F43DD"/>
    <w:rsid w:val="009F4825"/>
    <w:rsid w:val="009F49FF"/>
    <w:rsid w:val="009F583E"/>
    <w:rsid w:val="009F5CE6"/>
    <w:rsid w:val="009F60E0"/>
    <w:rsid w:val="009F68A3"/>
    <w:rsid w:val="009F6B75"/>
    <w:rsid w:val="009F6F3D"/>
    <w:rsid w:val="009F71FD"/>
    <w:rsid w:val="009F74DB"/>
    <w:rsid w:val="009F77DF"/>
    <w:rsid w:val="009F7813"/>
    <w:rsid w:val="009F7930"/>
    <w:rsid w:val="009F7F8E"/>
    <w:rsid w:val="00A00221"/>
    <w:rsid w:val="00A00437"/>
    <w:rsid w:val="00A00792"/>
    <w:rsid w:val="00A00BCB"/>
    <w:rsid w:val="00A00DDA"/>
    <w:rsid w:val="00A01385"/>
    <w:rsid w:val="00A01A18"/>
    <w:rsid w:val="00A01B9D"/>
    <w:rsid w:val="00A0201C"/>
    <w:rsid w:val="00A02C0A"/>
    <w:rsid w:val="00A03068"/>
    <w:rsid w:val="00A03652"/>
    <w:rsid w:val="00A03A2A"/>
    <w:rsid w:val="00A03E4B"/>
    <w:rsid w:val="00A047DA"/>
    <w:rsid w:val="00A0480E"/>
    <w:rsid w:val="00A04844"/>
    <w:rsid w:val="00A04982"/>
    <w:rsid w:val="00A051EA"/>
    <w:rsid w:val="00A05CA6"/>
    <w:rsid w:val="00A05CF4"/>
    <w:rsid w:val="00A06990"/>
    <w:rsid w:val="00A06ED8"/>
    <w:rsid w:val="00A06F9D"/>
    <w:rsid w:val="00A0738D"/>
    <w:rsid w:val="00A07570"/>
    <w:rsid w:val="00A10103"/>
    <w:rsid w:val="00A1054B"/>
    <w:rsid w:val="00A10BC9"/>
    <w:rsid w:val="00A11137"/>
    <w:rsid w:val="00A111EA"/>
    <w:rsid w:val="00A1135E"/>
    <w:rsid w:val="00A11447"/>
    <w:rsid w:val="00A11555"/>
    <w:rsid w:val="00A11B67"/>
    <w:rsid w:val="00A11D49"/>
    <w:rsid w:val="00A11DEE"/>
    <w:rsid w:val="00A120EE"/>
    <w:rsid w:val="00A12A38"/>
    <w:rsid w:val="00A12A97"/>
    <w:rsid w:val="00A12B28"/>
    <w:rsid w:val="00A1374B"/>
    <w:rsid w:val="00A13EAB"/>
    <w:rsid w:val="00A15545"/>
    <w:rsid w:val="00A1602B"/>
    <w:rsid w:val="00A162DF"/>
    <w:rsid w:val="00A16324"/>
    <w:rsid w:val="00A17013"/>
    <w:rsid w:val="00A17AF1"/>
    <w:rsid w:val="00A17B4D"/>
    <w:rsid w:val="00A17B91"/>
    <w:rsid w:val="00A20220"/>
    <w:rsid w:val="00A2055E"/>
    <w:rsid w:val="00A20CAE"/>
    <w:rsid w:val="00A21676"/>
    <w:rsid w:val="00A21C7C"/>
    <w:rsid w:val="00A225DB"/>
    <w:rsid w:val="00A23269"/>
    <w:rsid w:val="00A23DCC"/>
    <w:rsid w:val="00A23F95"/>
    <w:rsid w:val="00A24090"/>
    <w:rsid w:val="00A24C51"/>
    <w:rsid w:val="00A252DC"/>
    <w:rsid w:val="00A256A9"/>
    <w:rsid w:val="00A25A23"/>
    <w:rsid w:val="00A25E6E"/>
    <w:rsid w:val="00A26159"/>
    <w:rsid w:val="00A26462"/>
    <w:rsid w:val="00A26700"/>
    <w:rsid w:val="00A26B21"/>
    <w:rsid w:val="00A274E2"/>
    <w:rsid w:val="00A27A34"/>
    <w:rsid w:val="00A27BE4"/>
    <w:rsid w:val="00A30B97"/>
    <w:rsid w:val="00A31193"/>
    <w:rsid w:val="00A312FC"/>
    <w:rsid w:val="00A3170B"/>
    <w:rsid w:val="00A31F9A"/>
    <w:rsid w:val="00A31FF4"/>
    <w:rsid w:val="00A32429"/>
    <w:rsid w:val="00A3288D"/>
    <w:rsid w:val="00A3307A"/>
    <w:rsid w:val="00A33111"/>
    <w:rsid w:val="00A33A21"/>
    <w:rsid w:val="00A34BDA"/>
    <w:rsid w:val="00A358DC"/>
    <w:rsid w:val="00A362FE"/>
    <w:rsid w:val="00A36EC0"/>
    <w:rsid w:val="00A37357"/>
    <w:rsid w:val="00A374BC"/>
    <w:rsid w:val="00A375B5"/>
    <w:rsid w:val="00A37719"/>
    <w:rsid w:val="00A40089"/>
    <w:rsid w:val="00A40459"/>
    <w:rsid w:val="00A408A1"/>
    <w:rsid w:val="00A4164A"/>
    <w:rsid w:val="00A41C3D"/>
    <w:rsid w:val="00A41F2E"/>
    <w:rsid w:val="00A432A0"/>
    <w:rsid w:val="00A4354B"/>
    <w:rsid w:val="00A43A5C"/>
    <w:rsid w:val="00A43F0A"/>
    <w:rsid w:val="00A43FF9"/>
    <w:rsid w:val="00A44220"/>
    <w:rsid w:val="00A45207"/>
    <w:rsid w:val="00A457C1"/>
    <w:rsid w:val="00A45944"/>
    <w:rsid w:val="00A46305"/>
    <w:rsid w:val="00A465E9"/>
    <w:rsid w:val="00A468F2"/>
    <w:rsid w:val="00A46A4B"/>
    <w:rsid w:val="00A470C6"/>
    <w:rsid w:val="00A47774"/>
    <w:rsid w:val="00A47BC1"/>
    <w:rsid w:val="00A5077D"/>
    <w:rsid w:val="00A50899"/>
    <w:rsid w:val="00A50C78"/>
    <w:rsid w:val="00A50D1E"/>
    <w:rsid w:val="00A51049"/>
    <w:rsid w:val="00A51084"/>
    <w:rsid w:val="00A512A2"/>
    <w:rsid w:val="00A5175F"/>
    <w:rsid w:val="00A51875"/>
    <w:rsid w:val="00A518F7"/>
    <w:rsid w:val="00A51996"/>
    <w:rsid w:val="00A51A4B"/>
    <w:rsid w:val="00A5216F"/>
    <w:rsid w:val="00A52254"/>
    <w:rsid w:val="00A52401"/>
    <w:rsid w:val="00A5287D"/>
    <w:rsid w:val="00A529D4"/>
    <w:rsid w:val="00A52D7C"/>
    <w:rsid w:val="00A54C42"/>
    <w:rsid w:val="00A550F7"/>
    <w:rsid w:val="00A55BF7"/>
    <w:rsid w:val="00A562BE"/>
    <w:rsid w:val="00A568ED"/>
    <w:rsid w:val="00A56A4F"/>
    <w:rsid w:val="00A56DDE"/>
    <w:rsid w:val="00A5746C"/>
    <w:rsid w:val="00A5773B"/>
    <w:rsid w:val="00A5787F"/>
    <w:rsid w:val="00A57C06"/>
    <w:rsid w:val="00A57E73"/>
    <w:rsid w:val="00A600F7"/>
    <w:rsid w:val="00A601FA"/>
    <w:rsid w:val="00A60436"/>
    <w:rsid w:val="00A6052E"/>
    <w:rsid w:val="00A60601"/>
    <w:rsid w:val="00A607D9"/>
    <w:rsid w:val="00A60C3A"/>
    <w:rsid w:val="00A6104C"/>
    <w:rsid w:val="00A61C35"/>
    <w:rsid w:val="00A621B7"/>
    <w:rsid w:val="00A62DC7"/>
    <w:rsid w:val="00A63037"/>
    <w:rsid w:val="00A6323E"/>
    <w:rsid w:val="00A63277"/>
    <w:rsid w:val="00A638B4"/>
    <w:rsid w:val="00A63AF3"/>
    <w:rsid w:val="00A63C03"/>
    <w:rsid w:val="00A64173"/>
    <w:rsid w:val="00A6419E"/>
    <w:rsid w:val="00A64E32"/>
    <w:rsid w:val="00A64E8C"/>
    <w:rsid w:val="00A64EF8"/>
    <w:rsid w:val="00A65CE4"/>
    <w:rsid w:val="00A65E01"/>
    <w:rsid w:val="00A6619D"/>
    <w:rsid w:val="00A66203"/>
    <w:rsid w:val="00A664B6"/>
    <w:rsid w:val="00A6677B"/>
    <w:rsid w:val="00A66B3F"/>
    <w:rsid w:val="00A66CE9"/>
    <w:rsid w:val="00A67D1C"/>
    <w:rsid w:val="00A67F0E"/>
    <w:rsid w:val="00A702BB"/>
    <w:rsid w:val="00A70BB5"/>
    <w:rsid w:val="00A70F1D"/>
    <w:rsid w:val="00A70FB9"/>
    <w:rsid w:val="00A70FE6"/>
    <w:rsid w:val="00A710AC"/>
    <w:rsid w:val="00A7177F"/>
    <w:rsid w:val="00A717AD"/>
    <w:rsid w:val="00A7186E"/>
    <w:rsid w:val="00A71CBF"/>
    <w:rsid w:val="00A71FC9"/>
    <w:rsid w:val="00A725DB"/>
    <w:rsid w:val="00A72980"/>
    <w:rsid w:val="00A729FA"/>
    <w:rsid w:val="00A72C03"/>
    <w:rsid w:val="00A733FB"/>
    <w:rsid w:val="00A73738"/>
    <w:rsid w:val="00A73D7C"/>
    <w:rsid w:val="00A73E8F"/>
    <w:rsid w:val="00A747DC"/>
    <w:rsid w:val="00A74A82"/>
    <w:rsid w:val="00A74D4E"/>
    <w:rsid w:val="00A74DFA"/>
    <w:rsid w:val="00A752A2"/>
    <w:rsid w:val="00A753BD"/>
    <w:rsid w:val="00A761EE"/>
    <w:rsid w:val="00A766DD"/>
    <w:rsid w:val="00A76A99"/>
    <w:rsid w:val="00A76B33"/>
    <w:rsid w:val="00A76FA4"/>
    <w:rsid w:val="00A777C4"/>
    <w:rsid w:val="00A77933"/>
    <w:rsid w:val="00A77F98"/>
    <w:rsid w:val="00A77FCB"/>
    <w:rsid w:val="00A80559"/>
    <w:rsid w:val="00A80813"/>
    <w:rsid w:val="00A80EA4"/>
    <w:rsid w:val="00A8115F"/>
    <w:rsid w:val="00A819DD"/>
    <w:rsid w:val="00A81C95"/>
    <w:rsid w:val="00A81DE0"/>
    <w:rsid w:val="00A81F01"/>
    <w:rsid w:val="00A82D4D"/>
    <w:rsid w:val="00A83A16"/>
    <w:rsid w:val="00A83CA5"/>
    <w:rsid w:val="00A83DCF"/>
    <w:rsid w:val="00A84336"/>
    <w:rsid w:val="00A84863"/>
    <w:rsid w:val="00A84EAD"/>
    <w:rsid w:val="00A84EBD"/>
    <w:rsid w:val="00A84EDD"/>
    <w:rsid w:val="00A84F34"/>
    <w:rsid w:val="00A8620E"/>
    <w:rsid w:val="00A864E9"/>
    <w:rsid w:val="00A86521"/>
    <w:rsid w:val="00A86CC9"/>
    <w:rsid w:val="00A8730E"/>
    <w:rsid w:val="00A8749C"/>
    <w:rsid w:val="00A87673"/>
    <w:rsid w:val="00A87906"/>
    <w:rsid w:val="00A87958"/>
    <w:rsid w:val="00A87E75"/>
    <w:rsid w:val="00A87E9E"/>
    <w:rsid w:val="00A901BE"/>
    <w:rsid w:val="00A904E2"/>
    <w:rsid w:val="00A90D2E"/>
    <w:rsid w:val="00A912E7"/>
    <w:rsid w:val="00A91B6C"/>
    <w:rsid w:val="00A91E97"/>
    <w:rsid w:val="00A92BCF"/>
    <w:rsid w:val="00A92E80"/>
    <w:rsid w:val="00A93095"/>
    <w:rsid w:val="00A93309"/>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A1C"/>
    <w:rsid w:val="00A97616"/>
    <w:rsid w:val="00A97AC3"/>
    <w:rsid w:val="00AA0125"/>
    <w:rsid w:val="00AA0297"/>
    <w:rsid w:val="00AA170D"/>
    <w:rsid w:val="00AA19A6"/>
    <w:rsid w:val="00AA1AED"/>
    <w:rsid w:val="00AA1EE1"/>
    <w:rsid w:val="00AA20B1"/>
    <w:rsid w:val="00AA25BA"/>
    <w:rsid w:val="00AA262E"/>
    <w:rsid w:val="00AA2BA2"/>
    <w:rsid w:val="00AA2C89"/>
    <w:rsid w:val="00AA3451"/>
    <w:rsid w:val="00AA3C1A"/>
    <w:rsid w:val="00AA43BD"/>
    <w:rsid w:val="00AA46E6"/>
    <w:rsid w:val="00AA48B6"/>
    <w:rsid w:val="00AA48C1"/>
    <w:rsid w:val="00AA5EC1"/>
    <w:rsid w:val="00AA60A4"/>
    <w:rsid w:val="00AA6AB5"/>
    <w:rsid w:val="00AA714D"/>
    <w:rsid w:val="00AA73A8"/>
    <w:rsid w:val="00AA7ADF"/>
    <w:rsid w:val="00AA7C13"/>
    <w:rsid w:val="00AA7E0A"/>
    <w:rsid w:val="00AB006F"/>
    <w:rsid w:val="00AB0BEA"/>
    <w:rsid w:val="00AB1A9F"/>
    <w:rsid w:val="00AB200F"/>
    <w:rsid w:val="00AB3037"/>
    <w:rsid w:val="00AB3184"/>
    <w:rsid w:val="00AB33CF"/>
    <w:rsid w:val="00AB33F9"/>
    <w:rsid w:val="00AB35B0"/>
    <w:rsid w:val="00AB3CEC"/>
    <w:rsid w:val="00AB3E8B"/>
    <w:rsid w:val="00AB4AFF"/>
    <w:rsid w:val="00AB537C"/>
    <w:rsid w:val="00AB5887"/>
    <w:rsid w:val="00AB5B81"/>
    <w:rsid w:val="00AB5C13"/>
    <w:rsid w:val="00AB5D24"/>
    <w:rsid w:val="00AB617F"/>
    <w:rsid w:val="00AB6276"/>
    <w:rsid w:val="00AB64E5"/>
    <w:rsid w:val="00AB65F3"/>
    <w:rsid w:val="00AB6C31"/>
    <w:rsid w:val="00AB7213"/>
    <w:rsid w:val="00AB7442"/>
    <w:rsid w:val="00AB74CF"/>
    <w:rsid w:val="00AC0717"/>
    <w:rsid w:val="00AC1226"/>
    <w:rsid w:val="00AC1481"/>
    <w:rsid w:val="00AC1686"/>
    <w:rsid w:val="00AC179A"/>
    <w:rsid w:val="00AC18EF"/>
    <w:rsid w:val="00AC24F6"/>
    <w:rsid w:val="00AC299E"/>
    <w:rsid w:val="00AC2A54"/>
    <w:rsid w:val="00AC2CAF"/>
    <w:rsid w:val="00AC598F"/>
    <w:rsid w:val="00AC5C6A"/>
    <w:rsid w:val="00AC635D"/>
    <w:rsid w:val="00AC6484"/>
    <w:rsid w:val="00AC65AF"/>
    <w:rsid w:val="00AC679E"/>
    <w:rsid w:val="00AC7052"/>
    <w:rsid w:val="00AC7703"/>
    <w:rsid w:val="00AC7E57"/>
    <w:rsid w:val="00AD00CD"/>
    <w:rsid w:val="00AD0558"/>
    <w:rsid w:val="00AD10E5"/>
    <w:rsid w:val="00AD13A8"/>
    <w:rsid w:val="00AD1A75"/>
    <w:rsid w:val="00AD1FF4"/>
    <w:rsid w:val="00AD21D6"/>
    <w:rsid w:val="00AD23CC"/>
    <w:rsid w:val="00AD2479"/>
    <w:rsid w:val="00AD248F"/>
    <w:rsid w:val="00AD31EC"/>
    <w:rsid w:val="00AD32BE"/>
    <w:rsid w:val="00AD35A4"/>
    <w:rsid w:val="00AD37F0"/>
    <w:rsid w:val="00AD3C2A"/>
    <w:rsid w:val="00AD3E6B"/>
    <w:rsid w:val="00AD4028"/>
    <w:rsid w:val="00AD4379"/>
    <w:rsid w:val="00AD4652"/>
    <w:rsid w:val="00AD4A21"/>
    <w:rsid w:val="00AD4DAE"/>
    <w:rsid w:val="00AD580F"/>
    <w:rsid w:val="00AD59D8"/>
    <w:rsid w:val="00AD5D1F"/>
    <w:rsid w:val="00AD5D9A"/>
    <w:rsid w:val="00AD5E26"/>
    <w:rsid w:val="00AD6676"/>
    <w:rsid w:val="00AD6833"/>
    <w:rsid w:val="00AD6D41"/>
    <w:rsid w:val="00AD715B"/>
    <w:rsid w:val="00AD7356"/>
    <w:rsid w:val="00AD77FA"/>
    <w:rsid w:val="00AE06F7"/>
    <w:rsid w:val="00AE0914"/>
    <w:rsid w:val="00AE0E20"/>
    <w:rsid w:val="00AE1220"/>
    <w:rsid w:val="00AE14B9"/>
    <w:rsid w:val="00AE1923"/>
    <w:rsid w:val="00AE1CFC"/>
    <w:rsid w:val="00AE1D4C"/>
    <w:rsid w:val="00AE23AB"/>
    <w:rsid w:val="00AE252A"/>
    <w:rsid w:val="00AE29AA"/>
    <w:rsid w:val="00AE329C"/>
    <w:rsid w:val="00AE3D0F"/>
    <w:rsid w:val="00AE3EC3"/>
    <w:rsid w:val="00AE4513"/>
    <w:rsid w:val="00AE48A4"/>
    <w:rsid w:val="00AE4D24"/>
    <w:rsid w:val="00AE4F38"/>
    <w:rsid w:val="00AE507F"/>
    <w:rsid w:val="00AE521A"/>
    <w:rsid w:val="00AE5AEC"/>
    <w:rsid w:val="00AE600B"/>
    <w:rsid w:val="00AE6602"/>
    <w:rsid w:val="00AE6873"/>
    <w:rsid w:val="00AE6D21"/>
    <w:rsid w:val="00AE6D50"/>
    <w:rsid w:val="00AE7F9B"/>
    <w:rsid w:val="00AF03AA"/>
    <w:rsid w:val="00AF0D9E"/>
    <w:rsid w:val="00AF106D"/>
    <w:rsid w:val="00AF1099"/>
    <w:rsid w:val="00AF1DE2"/>
    <w:rsid w:val="00AF278C"/>
    <w:rsid w:val="00AF2806"/>
    <w:rsid w:val="00AF34EA"/>
    <w:rsid w:val="00AF362D"/>
    <w:rsid w:val="00AF406C"/>
    <w:rsid w:val="00AF428A"/>
    <w:rsid w:val="00AF498E"/>
    <w:rsid w:val="00AF49D2"/>
    <w:rsid w:val="00AF4AF0"/>
    <w:rsid w:val="00AF4E90"/>
    <w:rsid w:val="00AF4FDE"/>
    <w:rsid w:val="00AF5391"/>
    <w:rsid w:val="00AF5912"/>
    <w:rsid w:val="00AF5D8B"/>
    <w:rsid w:val="00AF698E"/>
    <w:rsid w:val="00AF6A75"/>
    <w:rsid w:val="00AF6EE6"/>
    <w:rsid w:val="00AF7341"/>
    <w:rsid w:val="00AF7555"/>
    <w:rsid w:val="00AF7CBE"/>
    <w:rsid w:val="00B0063B"/>
    <w:rsid w:val="00B00A76"/>
    <w:rsid w:val="00B00EA1"/>
    <w:rsid w:val="00B00F17"/>
    <w:rsid w:val="00B0133A"/>
    <w:rsid w:val="00B01DB9"/>
    <w:rsid w:val="00B01E36"/>
    <w:rsid w:val="00B025A1"/>
    <w:rsid w:val="00B0264A"/>
    <w:rsid w:val="00B03DEE"/>
    <w:rsid w:val="00B04053"/>
    <w:rsid w:val="00B04C10"/>
    <w:rsid w:val="00B04D6B"/>
    <w:rsid w:val="00B0575B"/>
    <w:rsid w:val="00B068E4"/>
    <w:rsid w:val="00B068FF"/>
    <w:rsid w:val="00B069DE"/>
    <w:rsid w:val="00B06A46"/>
    <w:rsid w:val="00B078AE"/>
    <w:rsid w:val="00B1063A"/>
    <w:rsid w:val="00B10802"/>
    <w:rsid w:val="00B10E88"/>
    <w:rsid w:val="00B1147E"/>
    <w:rsid w:val="00B115ED"/>
    <w:rsid w:val="00B117CB"/>
    <w:rsid w:val="00B117D7"/>
    <w:rsid w:val="00B11E1F"/>
    <w:rsid w:val="00B12047"/>
    <w:rsid w:val="00B12732"/>
    <w:rsid w:val="00B12859"/>
    <w:rsid w:val="00B12E82"/>
    <w:rsid w:val="00B12FD8"/>
    <w:rsid w:val="00B13785"/>
    <w:rsid w:val="00B13B16"/>
    <w:rsid w:val="00B13B8E"/>
    <w:rsid w:val="00B13BC6"/>
    <w:rsid w:val="00B142E0"/>
    <w:rsid w:val="00B15237"/>
    <w:rsid w:val="00B156A9"/>
    <w:rsid w:val="00B15E04"/>
    <w:rsid w:val="00B16360"/>
    <w:rsid w:val="00B166F6"/>
    <w:rsid w:val="00B2074F"/>
    <w:rsid w:val="00B210CC"/>
    <w:rsid w:val="00B21E4C"/>
    <w:rsid w:val="00B22475"/>
    <w:rsid w:val="00B231BC"/>
    <w:rsid w:val="00B23573"/>
    <w:rsid w:val="00B23ABE"/>
    <w:rsid w:val="00B23B67"/>
    <w:rsid w:val="00B23F6D"/>
    <w:rsid w:val="00B24B78"/>
    <w:rsid w:val="00B26797"/>
    <w:rsid w:val="00B26C98"/>
    <w:rsid w:val="00B26E4F"/>
    <w:rsid w:val="00B27027"/>
    <w:rsid w:val="00B271E8"/>
    <w:rsid w:val="00B275D8"/>
    <w:rsid w:val="00B27981"/>
    <w:rsid w:val="00B27B3E"/>
    <w:rsid w:val="00B3007E"/>
    <w:rsid w:val="00B300C3"/>
    <w:rsid w:val="00B3135E"/>
    <w:rsid w:val="00B313F6"/>
    <w:rsid w:val="00B314BB"/>
    <w:rsid w:val="00B31DC7"/>
    <w:rsid w:val="00B31E63"/>
    <w:rsid w:val="00B32506"/>
    <w:rsid w:val="00B32CCD"/>
    <w:rsid w:val="00B32F66"/>
    <w:rsid w:val="00B33678"/>
    <w:rsid w:val="00B33E58"/>
    <w:rsid w:val="00B33FD6"/>
    <w:rsid w:val="00B3407B"/>
    <w:rsid w:val="00B340B5"/>
    <w:rsid w:val="00B348D2"/>
    <w:rsid w:val="00B34AFD"/>
    <w:rsid w:val="00B34CAA"/>
    <w:rsid w:val="00B3512D"/>
    <w:rsid w:val="00B354E2"/>
    <w:rsid w:val="00B358C1"/>
    <w:rsid w:val="00B35C85"/>
    <w:rsid w:val="00B361AC"/>
    <w:rsid w:val="00B36705"/>
    <w:rsid w:val="00B36B2F"/>
    <w:rsid w:val="00B37073"/>
    <w:rsid w:val="00B371B2"/>
    <w:rsid w:val="00B37391"/>
    <w:rsid w:val="00B37D98"/>
    <w:rsid w:val="00B40037"/>
    <w:rsid w:val="00B4141C"/>
    <w:rsid w:val="00B414E0"/>
    <w:rsid w:val="00B41861"/>
    <w:rsid w:val="00B41A1A"/>
    <w:rsid w:val="00B41D7E"/>
    <w:rsid w:val="00B42107"/>
    <w:rsid w:val="00B427F8"/>
    <w:rsid w:val="00B439E2"/>
    <w:rsid w:val="00B43A1C"/>
    <w:rsid w:val="00B43F14"/>
    <w:rsid w:val="00B440D1"/>
    <w:rsid w:val="00B443DF"/>
    <w:rsid w:val="00B4492B"/>
    <w:rsid w:val="00B44A28"/>
    <w:rsid w:val="00B453BC"/>
    <w:rsid w:val="00B457F9"/>
    <w:rsid w:val="00B45B91"/>
    <w:rsid w:val="00B45BBA"/>
    <w:rsid w:val="00B462D8"/>
    <w:rsid w:val="00B46347"/>
    <w:rsid w:val="00B46444"/>
    <w:rsid w:val="00B46775"/>
    <w:rsid w:val="00B47117"/>
    <w:rsid w:val="00B475E1"/>
    <w:rsid w:val="00B4762E"/>
    <w:rsid w:val="00B47D1C"/>
    <w:rsid w:val="00B507E3"/>
    <w:rsid w:val="00B5155A"/>
    <w:rsid w:val="00B51800"/>
    <w:rsid w:val="00B51E22"/>
    <w:rsid w:val="00B51E5E"/>
    <w:rsid w:val="00B51F70"/>
    <w:rsid w:val="00B52425"/>
    <w:rsid w:val="00B52EAD"/>
    <w:rsid w:val="00B52F36"/>
    <w:rsid w:val="00B542AE"/>
    <w:rsid w:val="00B546AB"/>
    <w:rsid w:val="00B5474A"/>
    <w:rsid w:val="00B547C5"/>
    <w:rsid w:val="00B54851"/>
    <w:rsid w:val="00B54B97"/>
    <w:rsid w:val="00B54C7E"/>
    <w:rsid w:val="00B554EB"/>
    <w:rsid w:val="00B55825"/>
    <w:rsid w:val="00B55C56"/>
    <w:rsid w:val="00B55E9E"/>
    <w:rsid w:val="00B566ED"/>
    <w:rsid w:val="00B57205"/>
    <w:rsid w:val="00B57320"/>
    <w:rsid w:val="00B574FC"/>
    <w:rsid w:val="00B603D4"/>
    <w:rsid w:val="00B604C7"/>
    <w:rsid w:val="00B60CC4"/>
    <w:rsid w:val="00B60E24"/>
    <w:rsid w:val="00B61068"/>
    <w:rsid w:val="00B6118D"/>
    <w:rsid w:val="00B61F6B"/>
    <w:rsid w:val="00B62104"/>
    <w:rsid w:val="00B6233A"/>
    <w:rsid w:val="00B62AFD"/>
    <w:rsid w:val="00B6312A"/>
    <w:rsid w:val="00B63594"/>
    <w:rsid w:val="00B63CE9"/>
    <w:rsid w:val="00B6435F"/>
    <w:rsid w:val="00B64FF2"/>
    <w:rsid w:val="00B650FB"/>
    <w:rsid w:val="00B651B7"/>
    <w:rsid w:val="00B65553"/>
    <w:rsid w:val="00B65643"/>
    <w:rsid w:val="00B658B7"/>
    <w:rsid w:val="00B66D63"/>
    <w:rsid w:val="00B66E77"/>
    <w:rsid w:val="00B674BE"/>
    <w:rsid w:val="00B6799D"/>
    <w:rsid w:val="00B67A5D"/>
    <w:rsid w:val="00B67BF5"/>
    <w:rsid w:val="00B70240"/>
    <w:rsid w:val="00B7038A"/>
    <w:rsid w:val="00B706E0"/>
    <w:rsid w:val="00B70E68"/>
    <w:rsid w:val="00B71BEA"/>
    <w:rsid w:val="00B71C5E"/>
    <w:rsid w:val="00B71D0E"/>
    <w:rsid w:val="00B71D57"/>
    <w:rsid w:val="00B7222F"/>
    <w:rsid w:val="00B72616"/>
    <w:rsid w:val="00B72695"/>
    <w:rsid w:val="00B72C21"/>
    <w:rsid w:val="00B7351F"/>
    <w:rsid w:val="00B73814"/>
    <w:rsid w:val="00B73D20"/>
    <w:rsid w:val="00B73F56"/>
    <w:rsid w:val="00B743DF"/>
    <w:rsid w:val="00B74B6F"/>
    <w:rsid w:val="00B752A3"/>
    <w:rsid w:val="00B75640"/>
    <w:rsid w:val="00B75690"/>
    <w:rsid w:val="00B759E3"/>
    <w:rsid w:val="00B76B9D"/>
    <w:rsid w:val="00B77355"/>
    <w:rsid w:val="00B776A8"/>
    <w:rsid w:val="00B77A84"/>
    <w:rsid w:val="00B77E94"/>
    <w:rsid w:val="00B80321"/>
    <w:rsid w:val="00B81C69"/>
    <w:rsid w:val="00B821B7"/>
    <w:rsid w:val="00B82451"/>
    <w:rsid w:val="00B8299B"/>
    <w:rsid w:val="00B82F98"/>
    <w:rsid w:val="00B83503"/>
    <w:rsid w:val="00B84D02"/>
    <w:rsid w:val="00B84ED5"/>
    <w:rsid w:val="00B85018"/>
    <w:rsid w:val="00B858B4"/>
    <w:rsid w:val="00B8596D"/>
    <w:rsid w:val="00B863E7"/>
    <w:rsid w:val="00B86CD2"/>
    <w:rsid w:val="00B8778B"/>
    <w:rsid w:val="00B9031C"/>
    <w:rsid w:val="00B90653"/>
    <w:rsid w:val="00B925DB"/>
    <w:rsid w:val="00B928E5"/>
    <w:rsid w:val="00B9333B"/>
    <w:rsid w:val="00B938E4"/>
    <w:rsid w:val="00B93D40"/>
    <w:rsid w:val="00B947BF"/>
    <w:rsid w:val="00B94811"/>
    <w:rsid w:val="00B94BC2"/>
    <w:rsid w:val="00B94E55"/>
    <w:rsid w:val="00B94F87"/>
    <w:rsid w:val="00B951C1"/>
    <w:rsid w:val="00B9556E"/>
    <w:rsid w:val="00B95619"/>
    <w:rsid w:val="00B95DC7"/>
    <w:rsid w:val="00B96335"/>
    <w:rsid w:val="00B96C53"/>
    <w:rsid w:val="00B975CF"/>
    <w:rsid w:val="00B97784"/>
    <w:rsid w:val="00B97EBA"/>
    <w:rsid w:val="00BA0103"/>
    <w:rsid w:val="00BA0DF2"/>
    <w:rsid w:val="00BA0E5B"/>
    <w:rsid w:val="00BA0F89"/>
    <w:rsid w:val="00BA1049"/>
    <w:rsid w:val="00BA108A"/>
    <w:rsid w:val="00BA179D"/>
    <w:rsid w:val="00BA181F"/>
    <w:rsid w:val="00BA1AFD"/>
    <w:rsid w:val="00BA217B"/>
    <w:rsid w:val="00BA2A85"/>
    <w:rsid w:val="00BA3074"/>
    <w:rsid w:val="00BA3094"/>
    <w:rsid w:val="00BA37F0"/>
    <w:rsid w:val="00BA3CC9"/>
    <w:rsid w:val="00BA42EA"/>
    <w:rsid w:val="00BA4418"/>
    <w:rsid w:val="00BA4525"/>
    <w:rsid w:val="00BA4AAE"/>
    <w:rsid w:val="00BA4BFB"/>
    <w:rsid w:val="00BA4D60"/>
    <w:rsid w:val="00BA4E2C"/>
    <w:rsid w:val="00BA509D"/>
    <w:rsid w:val="00BA51F6"/>
    <w:rsid w:val="00BA5B47"/>
    <w:rsid w:val="00BA5ED6"/>
    <w:rsid w:val="00BA648B"/>
    <w:rsid w:val="00BA6818"/>
    <w:rsid w:val="00BA6E28"/>
    <w:rsid w:val="00BA74ED"/>
    <w:rsid w:val="00BA771E"/>
    <w:rsid w:val="00BA77DE"/>
    <w:rsid w:val="00BA782E"/>
    <w:rsid w:val="00BA7A25"/>
    <w:rsid w:val="00BA7C2F"/>
    <w:rsid w:val="00BB05F4"/>
    <w:rsid w:val="00BB0630"/>
    <w:rsid w:val="00BB064E"/>
    <w:rsid w:val="00BB12F6"/>
    <w:rsid w:val="00BB13AC"/>
    <w:rsid w:val="00BB1CAB"/>
    <w:rsid w:val="00BB2322"/>
    <w:rsid w:val="00BB2405"/>
    <w:rsid w:val="00BB25E1"/>
    <w:rsid w:val="00BB2DFE"/>
    <w:rsid w:val="00BB3436"/>
    <w:rsid w:val="00BB3828"/>
    <w:rsid w:val="00BB3A7C"/>
    <w:rsid w:val="00BB3D9E"/>
    <w:rsid w:val="00BB4199"/>
    <w:rsid w:val="00BB48F9"/>
    <w:rsid w:val="00BB4D2D"/>
    <w:rsid w:val="00BB4D97"/>
    <w:rsid w:val="00BB51DC"/>
    <w:rsid w:val="00BB53DF"/>
    <w:rsid w:val="00BB56C4"/>
    <w:rsid w:val="00BB5776"/>
    <w:rsid w:val="00BB5B56"/>
    <w:rsid w:val="00BB6030"/>
    <w:rsid w:val="00BB6067"/>
    <w:rsid w:val="00BB6172"/>
    <w:rsid w:val="00BB6853"/>
    <w:rsid w:val="00BB6B0B"/>
    <w:rsid w:val="00BB6C0B"/>
    <w:rsid w:val="00BB6DEB"/>
    <w:rsid w:val="00BB6F1C"/>
    <w:rsid w:val="00BB716B"/>
    <w:rsid w:val="00BB772D"/>
    <w:rsid w:val="00BB78B8"/>
    <w:rsid w:val="00BB7E75"/>
    <w:rsid w:val="00BC04A5"/>
    <w:rsid w:val="00BC0725"/>
    <w:rsid w:val="00BC091B"/>
    <w:rsid w:val="00BC13E1"/>
    <w:rsid w:val="00BC1A7C"/>
    <w:rsid w:val="00BC23C0"/>
    <w:rsid w:val="00BC25A3"/>
    <w:rsid w:val="00BC265E"/>
    <w:rsid w:val="00BC2978"/>
    <w:rsid w:val="00BC3563"/>
    <w:rsid w:val="00BC3677"/>
    <w:rsid w:val="00BC38CC"/>
    <w:rsid w:val="00BC4118"/>
    <w:rsid w:val="00BC466E"/>
    <w:rsid w:val="00BC4D34"/>
    <w:rsid w:val="00BC6794"/>
    <w:rsid w:val="00BC6862"/>
    <w:rsid w:val="00BC730B"/>
    <w:rsid w:val="00BC7530"/>
    <w:rsid w:val="00BC77EA"/>
    <w:rsid w:val="00BC7C23"/>
    <w:rsid w:val="00BD0264"/>
    <w:rsid w:val="00BD070A"/>
    <w:rsid w:val="00BD0750"/>
    <w:rsid w:val="00BD08AA"/>
    <w:rsid w:val="00BD0B7D"/>
    <w:rsid w:val="00BD0E33"/>
    <w:rsid w:val="00BD14A8"/>
    <w:rsid w:val="00BD1D83"/>
    <w:rsid w:val="00BD26A7"/>
    <w:rsid w:val="00BD35F1"/>
    <w:rsid w:val="00BD369A"/>
    <w:rsid w:val="00BD37BA"/>
    <w:rsid w:val="00BD383C"/>
    <w:rsid w:val="00BD3A57"/>
    <w:rsid w:val="00BD4CCC"/>
    <w:rsid w:val="00BD51DF"/>
    <w:rsid w:val="00BD577E"/>
    <w:rsid w:val="00BD58C0"/>
    <w:rsid w:val="00BD58CD"/>
    <w:rsid w:val="00BD5FD1"/>
    <w:rsid w:val="00BD601C"/>
    <w:rsid w:val="00BD6B3A"/>
    <w:rsid w:val="00BD6E31"/>
    <w:rsid w:val="00BD70AE"/>
    <w:rsid w:val="00BD7A78"/>
    <w:rsid w:val="00BE024B"/>
    <w:rsid w:val="00BE0254"/>
    <w:rsid w:val="00BE05AF"/>
    <w:rsid w:val="00BE0CB7"/>
    <w:rsid w:val="00BE0DCB"/>
    <w:rsid w:val="00BE14AB"/>
    <w:rsid w:val="00BE172B"/>
    <w:rsid w:val="00BE1859"/>
    <w:rsid w:val="00BE1C87"/>
    <w:rsid w:val="00BE24E9"/>
    <w:rsid w:val="00BE259F"/>
    <w:rsid w:val="00BE2D0C"/>
    <w:rsid w:val="00BE2E40"/>
    <w:rsid w:val="00BE2EA5"/>
    <w:rsid w:val="00BE2EBD"/>
    <w:rsid w:val="00BE2F37"/>
    <w:rsid w:val="00BE32A6"/>
    <w:rsid w:val="00BE3535"/>
    <w:rsid w:val="00BE3F30"/>
    <w:rsid w:val="00BE4090"/>
    <w:rsid w:val="00BE40B0"/>
    <w:rsid w:val="00BE428C"/>
    <w:rsid w:val="00BE4398"/>
    <w:rsid w:val="00BE538C"/>
    <w:rsid w:val="00BE55E1"/>
    <w:rsid w:val="00BE6556"/>
    <w:rsid w:val="00BE6738"/>
    <w:rsid w:val="00BE6DD4"/>
    <w:rsid w:val="00BE72B2"/>
    <w:rsid w:val="00BE756C"/>
    <w:rsid w:val="00BE7822"/>
    <w:rsid w:val="00BE7934"/>
    <w:rsid w:val="00BE79B8"/>
    <w:rsid w:val="00BE7AC2"/>
    <w:rsid w:val="00BF00B4"/>
    <w:rsid w:val="00BF01F1"/>
    <w:rsid w:val="00BF04AD"/>
    <w:rsid w:val="00BF05A0"/>
    <w:rsid w:val="00BF07D6"/>
    <w:rsid w:val="00BF0BDC"/>
    <w:rsid w:val="00BF10ED"/>
    <w:rsid w:val="00BF12DD"/>
    <w:rsid w:val="00BF1740"/>
    <w:rsid w:val="00BF19B3"/>
    <w:rsid w:val="00BF2146"/>
    <w:rsid w:val="00BF2184"/>
    <w:rsid w:val="00BF2BBE"/>
    <w:rsid w:val="00BF36F1"/>
    <w:rsid w:val="00BF381C"/>
    <w:rsid w:val="00BF4606"/>
    <w:rsid w:val="00BF4733"/>
    <w:rsid w:val="00BF498B"/>
    <w:rsid w:val="00BF4E4A"/>
    <w:rsid w:val="00BF4EB8"/>
    <w:rsid w:val="00BF5D42"/>
    <w:rsid w:val="00BF6690"/>
    <w:rsid w:val="00BF6A28"/>
    <w:rsid w:val="00BF7E99"/>
    <w:rsid w:val="00C00469"/>
    <w:rsid w:val="00C0047B"/>
    <w:rsid w:val="00C010FA"/>
    <w:rsid w:val="00C015EB"/>
    <w:rsid w:val="00C01A05"/>
    <w:rsid w:val="00C01AF6"/>
    <w:rsid w:val="00C01BB0"/>
    <w:rsid w:val="00C01C75"/>
    <w:rsid w:val="00C02121"/>
    <w:rsid w:val="00C02210"/>
    <w:rsid w:val="00C02714"/>
    <w:rsid w:val="00C037FC"/>
    <w:rsid w:val="00C03BCA"/>
    <w:rsid w:val="00C03FC3"/>
    <w:rsid w:val="00C042FB"/>
    <w:rsid w:val="00C0440C"/>
    <w:rsid w:val="00C04568"/>
    <w:rsid w:val="00C04A9A"/>
    <w:rsid w:val="00C04B40"/>
    <w:rsid w:val="00C05057"/>
    <w:rsid w:val="00C05098"/>
    <w:rsid w:val="00C05267"/>
    <w:rsid w:val="00C05422"/>
    <w:rsid w:val="00C0546D"/>
    <w:rsid w:val="00C05541"/>
    <w:rsid w:val="00C05611"/>
    <w:rsid w:val="00C0591B"/>
    <w:rsid w:val="00C0643E"/>
    <w:rsid w:val="00C06A28"/>
    <w:rsid w:val="00C06FD8"/>
    <w:rsid w:val="00C07889"/>
    <w:rsid w:val="00C07AE4"/>
    <w:rsid w:val="00C07EE8"/>
    <w:rsid w:val="00C10E4A"/>
    <w:rsid w:val="00C10F84"/>
    <w:rsid w:val="00C111C4"/>
    <w:rsid w:val="00C115D3"/>
    <w:rsid w:val="00C11958"/>
    <w:rsid w:val="00C11E2F"/>
    <w:rsid w:val="00C11E76"/>
    <w:rsid w:val="00C1230A"/>
    <w:rsid w:val="00C1238B"/>
    <w:rsid w:val="00C125A7"/>
    <w:rsid w:val="00C129C1"/>
    <w:rsid w:val="00C13E3A"/>
    <w:rsid w:val="00C13EC6"/>
    <w:rsid w:val="00C14145"/>
    <w:rsid w:val="00C14D49"/>
    <w:rsid w:val="00C15346"/>
    <w:rsid w:val="00C15E18"/>
    <w:rsid w:val="00C161A7"/>
    <w:rsid w:val="00C163E9"/>
    <w:rsid w:val="00C16DA8"/>
    <w:rsid w:val="00C17D16"/>
    <w:rsid w:val="00C202DC"/>
    <w:rsid w:val="00C20364"/>
    <w:rsid w:val="00C203F0"/>
    <w:rsid w:val="00C20431"/>
    <w:rsid w:val="00C20959"/>
    <w:rsid w:val="00C20C2D"/>
    <w:rsid w:val="00C20D32"/>
    <w:rsid w:val="00C20DA8"/>
    <w:rsid w:val="00C20DF3"/>
    <w:rsid w:val="00C21563"/>
    <w:rsid w:val="00C215CB"/>
    <w:rsid w:val="00C21792"/>
    <w:rsid w:val="00C21910"/>
    <w:rsid w:val="00C2200C"/>
    <w:rsid w:val="00C224D0"/>
    <w:rsid w:val="00C22655"/>
    <w:rsid w:val="00C2285B"/>
    <w:rsid w:val="00C22E4B"/>
    <w:rsid w:val="00C22FD7"/>
    <w:rsid w:val="00C23397"/>
    <w:rsid w:val="00C233C0"/>
    <w:rsid w:val="00C23610"/>
    <w:rsid w:val="00C238FD"/>
    <w:rsid w:val="00C23CB8"/>
    <w:rsid w:val="00C23E65"/>
    <w:rsid w:val="00C240D2"/>
    <w:rsid w:val="00C241C5"/>
    <w:rsid w:val="00C24368"/>
    <w:rsid w:val="00C2442D"/>
    <w:rsid w:val="00C24886"/>
    <w:rsid w:val="00C24A19"/>
    <w:rsid w:val="00C24A20"/>
    <w:rsid w:val="00C24D83"/>
    <w:rsid w:val="00C25770"/>
    <w:rsid w:val="00C2636E"/>
    <w:rsid w:val="00C268C6"/>
    <w:rsid w:val="00C270A5"/>
    <w:rsid w:val="00C274F3"/>
    <w:rsid w:val="00C27F83"/>
    <w:rsid w:val="00C3074B"/>
    <w:rsid w:val="00C30904"/>
    <w:rsid w:val="00C30957"/>
    <w:rsid w:val="00C3188D"/>
    <w:rsid w:val="00C318A2"/>
    <w:rsid w:val="00C318AF"/>
    <w:rsid w:val="00C31A94"/>
    <w:rsid w:val="00C321FC"/>
    <w:rsid w:val="00C324F0"/>
    <w:rsid w:val="00C3267E"/>
    <w:rsid w:val="00C327BC"/>
    <w:rsid w:val="00C32D84"/>
    <w:rsid w:val="00C32E23"/>
    <w:rsid w:val="00C3327C"/>
    <w:rsid w:val="00C336EC"/>
    <w:rsid w:val="00C3385B"/>
    <w:rsid w:val="00C33BE1"/>
    <w:rsid w:val="00C34193"/>
    <w:rsid w:val="00C34B20"/>
    <w:rsid w:val="00C35323"/>
    <w:rsid w:val="00C354FC"/>
    <w:rsid w:val="00C35747"/>
    <w:rsid w:val="00C35780"/>
    <w:rsid w:val="00C35A2D"/>
    <w:rsid w:val="00C3607D"/>
    <w:rsid w:val="00C3671C"/>
    <w:rsid w:val="00C368B2"/>
    <w:rsid w:val="00C369C5"/>
    <w:rsid w:val="00C36C40"/>
    <w:rsid w:val="00C36E59"/>
    <w:rsid w:val="00C36FB7"/>
    <w:rsid w:val="00C37102"/>
    <w:rsid w:val="00C378BB"/>
    <w:rsid w:val="00C37A49"/>
    <w:rsid w:val="00C37C66"/>
    <w:rsid w:val="00C4004B"/>
    <w:rsid w:val="00C40C65"/>
    <w:rsid w:val="00C40D7A"/>
    <w:rsid w:val="00C411C6"/>
    <w:rsid w:val="00C411E8"/>
    <w:rsid w:val="00C42009"/>
    <w:rsid w:val="00C42089"/>
    <w:rsid w:val="00C42278"/>
    <w:rsid w:val="00C4227F"/>
    <w:rsid w:val="00C425B1"/>
    <w:rsid w:val="00C43733"/>
    <w:rsid w:val="00C43770"/>
    <w:rsid w:val="00C43996"/>
    <w:rsid w:val="00C43D1B"/>
    <w:rsid w:val="00C43DB2"/>
    <w:rsid w:val="00C43F3C"/>
    <w:rsid w:val="00C448AE"/>
    <w:rsid w:val="00C44997"/>
    <w:rsid w:val="00C44B2F"/>
    <w:rsid w:val="00C44B92"/>
    <w:rsid w:val="00C44D9B"/>
    <w:rsid w:val="00C44E74"/>
    <w:rsid w:val="00C4508E"/>
    <w:rsid w:val="00C45F1A"/>
    <w:rsid w:val="00C45FCA"/>
    <w:rsid w:val="00C4632E"/>
    <w:rsid w:val="00C46358"/>
    <w:rsid w:val="00C46905"/>
    <w:rsid w:val="00C46E0F"/>
    <w:rsid w:val="00C46FC4"/>
    <w:rsid w:val="00C4786D"/>
    <w:rsid w:val="00C47A35"/>
    <w:rsid w:val="00C47DE2"/>
    <w:rsid w:val="00C50543"/>
    <w:rsid w:val="00C505BA"/>
    <w:rsid w:val="00C508DA"/>
    <w:rsid w:val="00C50ADB"/>
    <w:rsid w:val="00C50B3A"/>
    <w:rsid w:val="00C51470"/>
    <w:rsid w:val="00C5157D"/>
    <w:rsid w:val="00C519DA"/>
    <w:rsid w:val="00C51A3B"/>
    <w:rsid w:val="00C522FC"/>
    <w:rsid w:val="00C52CEE"/>
    <w:rsid w:val="00C530B7"/>
    <w:rsid w:val="00C53C97"/>
    <w:rsid w:val="00C54D41"/>
    <w:rsid w:val="00C5514C"/>
    <w:rsid w:val="00C56DA3"/>
    <w:rsid w:val="00C56DA7"/>
    <w:rsid w:val="00C56EA1"/>
    <w:rsid w:val="00C57721"/>
    <w:rsid w:val="00C57A60"/>
    <w:rsid w:val="00C57C31"/>
    <w:rsid w:val="00C57D85"/>
    <w:rsid w:val="00C603F9"/>
    <w:rsid w:val="00C60AE1"/>
    <w:rsid w:val="00C61102"/>
    <w:rsid w:val="00C620C3"/>
    <w:rsid w:val="00C624A9"/>
    <w:rsid w:val="00C62B22"/>
    <w:rsid w:val="00C62C3F"/>
    <w:rsid w:val="00C63304"/>
    <w:rsid w:val="00C63926"/>
    <w:rsid w:val="00C63BC0"/>
    <w:rsid w:val="00C63D7F"/>
    <w:rsid w:val="00C63FCC"/>
    <w:rsid w:val="00C63FEC"/>
    <w:rsid w:val="00C64D09"/>
    <w:rsid w:val="00C65A73"/>
    <w:rsid w:val="00C65AE0"/>
    <w:rsid w:val="00C65E33"/>
    <w:rsid w:val="00C661CD"/>
    <w:rsid w:val="00C66409"/>
    <w:rsid w:val="00C66925"/>
    <w:rsid w:val="00C66FFA"/>
    <w:rsid w:val="00C6779C"/>
    <w:rsid w:val="00C67BA4"/>
    <w:rsid w:val="00C67C07"/>
    <w:rsid w:val="00C700B4"/>
    <w:rsid w:val="00C703AA"/>
    <w:rsid w:val="00C7112E"/>
    <w:rsid w:val="00C71A7E"/>
    <w:rsid w:val="00C71C06"/>
    <w:rsid w:val="00C7254D"/>
    <w:rsid w:val="00C72A44"/>
    <w:rsid w:val="00C72CA9"/>
    <w:rsid w:val="00C72F5F"/>
    <w:rsid w:val="00C73184"/>
    <w:rsid w:val="00C7332A"/>
    <w:rsid w:val="00C733D9"/>
    <w:rsid w:val="00C73401"/>
    <w:rsid w:val="00C7346A"/>
    <w:rsid w:val="00C736A6"/>
    <w:rsid w:val="00C73906"/>
    <w:rsid w:val="00C73BEB"/>
    <w:rsid w:val="00C73F09"/>
    <w:rsid w:val="00C744F3"/>
    <w:rsid w:val="00C74825"/>
    <w:rsid w:val="00C7524C"/>
    <w:rsid w:val="00C76508"/>
    <w:rsid w:val="00C765DF"/>
    <w:rsid w:val="00C766FC"/>
    <w:rsid w:val="00C76BCA"/>
    <w:rsid w:val="00C76D6D"/>
    <w:rsid w:val="00C773AF"/>
    <w:rsid w:val="00C775FD"/>
    <w:rsid w:val="00C776FD"/>
    <w:rsid w:val="00C8020F"/>
    <w:rsid w:val="00C804E2"/>
    <w:rsid w:val="00C80B8B"/>
    <w:rsid w:val="00C81705"/>
    <w:rsid w:val="00C81842"/>
    <w:rsid w:val="00C81865"/>
    <w:rsid w:val="00C81CF0"/>
    <w:rsid w:val="00C82240"/>
    <w:rsid w:val="00C8225E"/>
    <w:rsid w:val="00C82B49"/>
    <w:rsid w:val="00C82BD2"/>
    <w:rsid w:val="00C82D8D"/>
    <w:rsid w:val="00C836F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627D"/>
    <w:rsid w:val="00C86A07"/>
    <w:rsid w:val="00C8799A"/>
    <w:rsid w:val="00C900E3"/>
    <w:rsid w:val="00C9029B"/>
    <w:rsid w:val="00C903B9"/>
    <w:rsid w:val="00C909E3"/>
    <w:rsid w:val="00C90DD2"/>
    <w:rsid w:val="00C91C46"/>
    <w:rsid w:val="00C93087"/>
    <w:rsid w:val="00C93512"/>
    <w:rsid w:val="00C935FF"/>
    <w:rsid w:val="00C93944"/>
    <w:rsid w:val="00C93964"/>
    <w:rsid w:val="00C93BBF"/>
    <w:rsid w:val="00C94149"/>
    <w:rsid w:val="00C9424C"/>
    <w:rsid w:val="00C94660"/>
    <w:rsid w:val="00C94796"/>
    <w:rsid w:val="00C94C8D"/>
    <w:rsid w:val="00C9516A"/>
    <w:rsid w:val="00C955D7"/>
    <w:rsid w:val="00C95F4E"/>
    <w:rsid w:val="00C964A6"/>
    <w:rsid w:val="00C96502"/>
    <w:rsid w:val="00C9681F"/>
    <w:rsid w:val="00C96D5B"/>
    <w:rsid w:val="00C971AB"/>
    <w:rsid w:val="00C9755E"/>
    <w:rsid w:val="00C97617"/>
    <w:rsid w:val="00C97DCE"/>
    <w:rsid w:val="00CA043B"/>
    <w:rsid w:val="00CA062B"/>
    <w:rsid w:val="00CA0CFC"/>
    <w:rsid w:val="00CA121B"/>
    <w:rsid w:val="00CA1283"/>
    <w:rsid w:val="00CA19A4"/>
    <w:rsid w:val="00CA1D40"/>
    <w:rsid w:val="00CA1E6F"/>
    <w:rsid w:val="00CA1EDA"/>
    <w:rsid w:val="00CA2076"/>
    <w:rsid w:val="00CA2E6A"/>
    <w:rsid w:val="00CA301A"/>
    <w:rsid w:val="00CA3771"/>
    <w:rsid w:val="00CA3981"/>
    <w:rsid w:val="00CA461D"/>
    <w:rsid w:val="00CA46A4"/>
    <w:rsid w:val="00CA4B8E"/>
    <w:rsid w:val="00CA4CB1"/>
    <w:rsid w:val="00CA5A78"/>
    <w:rsid w:val="00CA5F9E"/>
    <w:rsid w:val="00CA5FEC"/>
    <w:rsid w:val="00CA68D4"/>
    <w:rsid w:val="00CA75EB"/>
    <w:rsid w:val="00CA776F"/>
    <w:rsid w:val="00CA7CF2"/>
    <w:rsid w:val="00CB0479"/>
    <w:rsid w:val="00CB0A16"/>
    <w:rsid w:val="00CB0F0C"/>
    <w:rsid w:val="00CB10F5"/>
    <w:rsid w:val="00CB1696"/>
    <w:rsid w:val="00CB1DCD"/>
    <w:rsid w:val="00CB2363"/>
    <w:rsid w:val="00CB2434"/>
    <w:rsid w:val="00CB2774"/>
    <w:rsid w:val="00CB2A32"/>
    <w:rsid w:val="00CB2A50"/>
    <w:rsid w:val="00CB2F05"/>
    <w:rsid w:val="00CB30CA"/>
    <w:rsid w:val="00CB3172"/>
    <w:rsid w:val="00CB4022"/>
    <w:rsid w:val="00CB4562"/>
    <w:rsid w:val="00CB471F"/>
    <w:rsid w:val="00CB47F9"/>
    <w:rsid w:val="00CB4FA0"/>
    <w:rsid w:val="00CB5679"/>
    <w:rsid w:val="00CB5713"/>
    <w:rsid w:val="00CB5AAB"/>
    <w:rsid w:val="00CB6792"/>
    <w:rsid w:val="00CB68A2"/>
    <w:rsid w:val="00CB7040"/>
    <w:rsid w:val="00CB70E1"/>
    <w:rsid w:val="00CB731B"/>
    <w:rsid w:val="00CB7F3B"/>
    <w:rsid w:val="00CC01EB"/>
    <w:rsid w:val="00CC0A7F"/>
    <w:rsid w:val="00CC10DE"/>
    <w:rsid w:val="00CC150E"/>
    <w:rsid w:val="00CC1768"/>
    <w:rsid w:val="00CC1F89"/>
    <w:rsid w:val="00CC2314"/>
    <w:rsid w:val="00CC2408"/>
    <w:rsid w:val="00CC258C"/>
    <w:rsid w:val="00CC25FD"/>
    <w:rsid w:val="00CC2CA2"/>
    <w:rsid w:val="00CC327F"/>
    <w:rsid w:val="00CC34CB"/>
    <w:rsid w:val="00CC385A"/>
    <w:rsid w:val="00CC474A"/>
    <w:rsid w:val="00CC47D7"/>
    <w:rsid w:val="00CC4C03"/>
    <w:rsid w:val="00CC60F5"/>
    <w:rsid w:val="00CC61AA"/>
    <w:rsid w:val="00CC6E85"/>
    <w:rsid w:val="00CC71A0"/>
    <w:rsid w:val="00CC7238"/>
    <w:rsid w:val="00CC75C2"/>
    <w:rsid w:val="00CC778A"/>
    <w:rsid w:val="00CC7E8F"/>
    <w:rsid w:val="00CC7F04"/>
    <w:rsid w:val="00CC7F41"/>
    <w:rsid w:val="00CD000D"/>
    <w:rsid w:val="00CD016C"/>
    <w:rsid w:val="00CD0246"/>
    <w:rsid w:val="00CD0842"/>
    <w:rsid w:val="00CD1074"/>
    <w:rsid w:val="00CD157B"/>
    <w:rsid w:val="00CD173D"/>
    <w:rsid w:val="00CD23D6"/>
    <w:rsid w:val="00CD2656"/>
    <w:rsid w:val="00CD3318"/>
    <w:rsid w:val="00CD365A"/>
    <w:rsid w:val="00CD3A18"/>
    <w:rsid w:val="00CD3B31"/>
    <w:rsid w:val="00CD3F18"/>
    <w:rsid w:val="00CD3FFB"/>
    <w:rsid w:val="00CD45E3"/>
    <w:rsid w:val="00CD483F"/>
    <w:rsid w:val="00CD48E4"/>
    <w:rsid w:val="00CD4B8D"/>
    <w:rsid w:val="00CD4FBF"/>
    <w:rsid w:val="00CD55A2"/>
    <w:rsid w:val="00CD55AF"/>
    <w:rsid w:val="00CD5857"/>
    <w:rsid w:val="00CD58E5"/>
    <w:rsid w:val="00CD5E1F"/>
    <w:rsid w:val="00CD5FFD"/>
    <w:rsid w:val="00CD6874"/>
    <w:rsid w:val="00CD688F"/>
    <w:rsid w:val="00CD7002"/>
    <w:rsid w:val="00CD7104"/>
    <w:rsid w:val="00CD72EA"/>
    <w:rsid w:val="00CD73A3"/>
    <w:rsid w:val="00CE0055"/>
    <w:rsid w:val="00CE02E6"/>
    <w:rsid w:val="00CE088E"/>
    <w:rsid w:val="00CE0912"/>
    <w:rsid w:val="00CE0C8D"/>
    <w:rsid w:val="00CE1043"/>
    <w:rsid w:val="00CE1570"/>
    <w:rsid w:val="00CE1B40"/>
    <w:rsid w:val="00CE1CE6"/>
    <w:rsid w:val="00CE1DEC"/>
    <w:rsid w:val="00CE1F54"/>
    <w:rsid w:val="00CE22BC"/>
    <w:rsid w:val="00CE25E7"/>
    <w:rsid w:val="00CE29BD"/>
    <w:rsid w:val="00CE2BED"/>
    <w:rsid w:val="00CE2E1B"/>
    <w:rsid w:val="00CE301A"/>
    <w:rsid w:val="00CE31E5"/>
    <w:rsid w:val="00CE3564"/>
    <w:rsid w:val="00CE48FB"/>
    <w:rsid w:val="00CE4E97"/>
    <w:rsid w:val="00CE5085"/>
    <w:rsid w:val="00CE5A59"/>
    <w:rsid w:val="00CE60F0"/>
    <w:rsid w:val="00CE629E"/>
    <w:rsid w:val="00CE62B8"/>
    <w:rsid w:val="00CE63A8"/>
    <w:rsid w:val="00CE6528"/>
    <w:rsid w:val="00CE6B16"/>
    <w:rsid w:val="00CE6BB0"/>
    <w:rsid w:val="00CE6F27"/>
    <w:rsid w:val="00CE6F96"/>
    <w:rsid w:val="00CE7672"/>
    <w:rsid w:val="00CE79FE"/>
    <w:rsid w:val="00CE7DD6"/>
    <w:rsid w:val="00CE7E16"/>
    <w:rsid w:val="00CF010F"/>
    <w:rsid w:val="00CF0423"/>
    <w:rsid w:val="00CF072B"/>
    <w:rsid w:val="00CF0ADD"/>
    <w:rsid w:val="00CF0AFE"/>
    <w:rsid w:val="00CF0D20"/>
    <w:rsid w:val="00CF19EB"/>
    <w:rsid w:val="00CF2753"/>
    <w:rsid w:val="00CF28EE"/>
    <w:rsid w:val="00CF2FA8"/>
    <w:rsid w:val="00CF3159"/>
    <w:rsid w:val="00CF3885"/>
    <w:rsid w:val="00CF402D"/>
    <w:rsid w:val="00CF431B"/>
    <w:rsid w:val="00CF5577"/>
    <w:rsid w:val="00CF5BE3"/>
    <w:rsid w:val="00CF620E"/>
    <w:rsid w:val="00CF62A8"/>
    <w:rsid w:val="00CF6DF4"/>
    <w:rsid w:val="00CF6EA7"/>
    <w:rsid w:val="00CF7684"/>
    <w:rsid w:val="00CF7A07"/>
    <w:rsid w:val="00CF7AF7"/>
    <w:rsid w:val="00D00680"/>
    <w:rsid w:val="00D00A23"/>
    <w:rsid w:val="00D011FE"/>
    <w:rsid w:val="00D01CCF"/>
    <w:rsid w:val="00D0212E"/>
    <w:rsid w:val="00D0214A"/>
    <w:rsid w:val="00D026CD"/>
    <w:rsid w:val="00D02A25"/>
    <w:rsid w:val="00D04C15"/>
    <w:rsid w:val="00D04F7B"/>
    <w:rsid w:val="00D0512C"/>
    <w:rsid w:val="00D053C2"/>
    <w:rsid w:val="00D05FA5"/>
    <w:rsid w:val="00D06211"/>
    <w:rsid w:val="00D06E9F"/>
    <w:rsid w:val="00D06FFF"/>
    <w:rsid w:val="00D07871"/>
    <w:rsid w:val="00D07B7D"/>
    <w:rsid w:val="00D113E7"/>
    <w:rsid w:val="00D116BB"/>
    <w:rsid w:val="00D116F0"/>
    <w:rsid w:val="00D11724"/>
    <w:rsid w:val="00D119B8"/>
    <w:rsid w:val="00D11A72"/>
    <w:rsid w:val="00D11B26"/>
    <w:rsid w:val="00D11B66"/>
    <w:rsid w:val="00D122BD"/>
    <w:rsid w:val="00D123EA"/>
    <w:rsid w:val="00D124C5"/>
    <w:rsid w:val="00D12A77"/>
    <w:rsid w:val="00D12C8C"/>
    <w:rsid w:val="00D12E24"/>
    <w:rsid w:val="00D134C5"/>
    <w:rsid w:val="00D13CD4"/>
    <w:rsid w:val="00D14332"/>
    <w:rsid w:val="00D14C3A"/>
    <w:rsid w:val="00D15178"/>
    <w:rsid w:val="00D151AE"/>
    <w:rsid w:val="00D15B0C"/>
    <w:rsid w:val="00D15F88"/>
    <w:rsid w:val="00D167E6"/>
    <w:rsid w:val="00D16C97"/>
    <w:rsid w:val="00D16F9B"/>
    <w:rsid w:val="00D174D0"/>
    <w:rsid w:val="00D17611"/>
    <w:rsid w:val="00D17A0C"/>
    <w:rsid w:val="00D17E0F"/>
    <w:rsid w:val="00D17E1D"/>
    <w:rsid w:val="00D17E36"/>
    <w:rsid w:val="00D211A0"/>
    <w:rsid w:val="00D21366"/>
    <w:rsid w:val="00D21A5A"/>
    <w:rsid w:val="00D21E2C"/>
    <w:rsid w:val="00D22039"/>
    <w:rsid w:val="00D22381"/>
    <w:rsid w:val="00D22863"/>
    <w:rsid w:val="00D22A36"/>
    <w:rsid w:val="00D22D74"/>
    <w:rsid w:val="00D231EA"/>
    <w:rsid w:val="00D23502"/>
    <w:rsid w:val="00D239B8"/>
    <w:rsid w:val="00D23D32"/>
    <w:rsid w:val="00D23D51"/>
    <w:rsid w:val="00D24778"/>
    <w:rsid w:val="00D259F3"/>
    <w:rsid w:val="00D25ADF"/>
    <w:rsid w:val="00D25BE6"/>
    <w:rsid w:val="00D25C2E"/>
    <w:rsid w:val="00D25FFA"/>
    <w:rsid w:val="00D264A4"/>
    <w:rsid w:val="00D26E87"/>
    <w:rsid w:val="00D27086"/>
    <w:rsid w:val="00D274E2"/>
    <w:rsid w:val="00D279F9"/>
    <w:rsid w:val="00D27BB8"/>
    <w:rsid w:val="00D27CDB"/>
    <w:rsid w:val="00D27D1C"/>
    <w:rsid w:val="00D27E92"/>
    <w:rsid w:val="00D30112"/>
    <w:rsid w:val="00D3018C"/>
    <w:rsid w:val="00D30458"/>
    <w:rsid w:val="00D30B67"/>
    <w:rsid w:val="00D30D2F"/>
    <w:rsid w:val="00D30E04"/>
    <w:rsid w:val="00D31529"/>
    <w:rsid w:val="00D3190D"/>
    <w:rsid w:val="00D31C33"/>
    <w:rsid w:val="00D3345B"/>
    <w:rsid w:val="00D33974"/>
    <w:rsid w:val="00D34629"/>
    <w:rsid w:val="00D346EB"/>
    <w:rsid w:val="00D34B45"/>
    <w:rsid w:val="00D35DEF"/>
    <w:rsid w:val="00D362D1"/>
    <w:rsid w:val="00D3648B"/>
    <w:rsid w:val="00D36D7D"/>
    <w:rsid w:val="00D36FEC"/>
    <w:rsid w:val="00D3723B"/>
    <w:rsid w:val="00D377B1"/>
    <w:rsid w:val="00D37996"/>
    <w:rsid w:val="00D37C81"/>
    <w:rsid w:val="00D37DF7"/>
    <w:rsid w:val="00D405B2"/>
    <w:rsid w:val="00D40BBB"/>
    <w:rsid w:val="00D4101C"/>
    <w:rsid w:val="00D411AB"/>
    <w:rsid w:val="00D41B32"/>
    <w:rsid w:val="00D41BD7"/>
    <w:rsid w:val="00D41E32"/>
    <w:rsid w:val="00D42078"/>
    <w:rsid w:val="00D42CC1"/>
    <w:rsid w:val="00D42D59"/>
    <w:rsid w:val="00D42F6C"/>
    <w:rsid w:val="00D43663"/>
    <w:rsid w:val="00D43A1F"/>
    <w:rsid w:val="00D44755"/>
    <w:rsid w:val="00D4477C"/>
    <w:rsid w:val="00D45EDA"/>
    <w:rsid w:val="00D46126"/>
    <w:rsid w:val="00D46750"/>
    <w:rsid w:val="00D47F43"/>
    <w:rsid w:val="00D5004E"/>
    <w:rsid w:val="00D506A4"/>
    <w:rsid w:val="00D50D8F"/>
    <w:rsid w:val="00D50DFF"/>
    <w:rsid w:val="00D50F88"/>
    <w:rsid w:val="00D512A4"/>
    <w:rsid w:val="00D5138A"/>
    <w:rsid w:val="00D51A7A"/>
    <w:rsid w:val="00D51B6D"/>
    <w:rsid w:val="00D521C2"/>
    <w:rsid w:val="00D52785"/>
    <w:rsid w:val="00D53401"/>
    <w:rsid w:val="00D5370C"/>
    <w:rsid w:val="00D537D1"/>
    <w:rsid w:val="00D539EF"/>
    <w:rsid w:val="00D53A72"/>
    <w:rsid w:val="00D54038"/>
    <w:rsid w:val="00D54213"/>
    <w:rsid w:val="00D54F96"/>
    <w:rsid w:val="00D5509A"/>
    <w:rsid w:val="00D550A4"/>
    <w:rsid w:val="00D5556F"/>
    <w:rsid w:val="00D55A61"/>
    <w:rsid w:val="00D55E63"/>
    <w:rsid w:val="00D5610F"/>
    <w:rsid w:val="00D5676F"/>
    <w:rsid w:val="00D567D7"/>
    <w:rsid w:val="00D56AE7"/>
    <w:rsid w:val="00D57027"/>
    <w:rsid w:val="00D573B0"/>
    <w:rsid w:val="00D57521"/>
    <w:rsid w:val="00D576B6"/>
    <w:rsid w:val="00D578DF"/>
    <w:rsid w:val="00D579E1"/>
    <w:rsid w:val="00D600EC"/>
    <w:rsid w:val="00D60147"/>
    <w:rsid w:val="00D60CB8"/>
    <w:rsid w:val="00D60DEF"/>
    <w:rsid w:val="00D6110E"/>
    <w:rsid w:val="00D61D9D"/>
    <w:rsid w:val="00D6217D"/>
    <w:rsid w:val="00D6231B"/>
    <w:rsid w:val="00D62439"/>
    <w:rsid w:val="00D62C17"/>
    <w:rsid w:val="00D62DFA"/>
    <w:rsid w:val="00D63ACC"/>
    <w:rsid w:val="00D63D29"/>
    <w:rsid w:val="00D63EDB"/>
    <w:rsid w:val="00D65C79"/>
    <w:rsid w:val="00D66949"/>
    <w:rsid w:val="00D674AD"/>
    <w:rsid w:val="00D67A60"/>
    <w:rsid w:val="00D67A77"/>
    <w:rsid w:val="00D70016"/>
    <w:rsid w:val="00D70178"/>
    <w:rsid w:val="00D701CE"/>
    <w:rsid w:val="00D701D4"/>
    <w:rsid w:val="00D701D7"/>
    <w:rsid w:val="00D7069F"/>
    <w:rsid w:val="00D7083D"/>
    <w:rsid w:val="00D7100B"/>
    <w:rsid w:val="00D7121B"/>
    <w:rsid w:val="00D71336"/>
    <w:rsid w:val="00D71461"/>
    <w:rsid w:val="00D71471"/>
    <w:rsid w:val="00D71B67"/>
    <w:rsid w:val="00D71C56"/>
    <w:rsid w:val="00D72BE6"/>
    <w:rsid w:val="00D73B2C"/>
    <w:rsid w:val="00D73C72"/>
    <w:rsid w:val="00D73DDB"/>
    <w:rsid w:val="00D7429D"/>
    <w:rsid w:val="00D745D7"/>
    <w:rsid w:val="00D7519D"/>
    <w:rsid w:val="00D75281"/>
    <w:rsid w:val="00D75A53"/>
    <w:rsid w:val="00D75B25"/>
    <w:rsid w:val="00D760B7"/>
    <w:rsid w:val="00D763AA"/>
    <w:rsid w:val="00D7657C"/>
    <w:rsid w:val="00D765FD"/>
    <w:rsid w:val="00D76BAD"/>
    <w:rsid w:val="00D76C97"/>
    <w:rsid w:val="00D76E8B"/>
    <w:rsid w:val="00D7706C"/>
    <w:rsid w:val="00D77433"/>
    <w:rsid w:val="00D779A5"/>
    <w:rsid w:val="00D80CCC"/>
    <w:rsid w:val="00D80F0E"/>
    <w:rsid w:val="00D810BB"/>
    <w:rsid w:val="00D81524"/>
    <w:rsid w:val="00D81801"/>
    <w:rsid w:val="00D81ADA"/>
    <w:rsid w:val="00D81FBB"/>
    <w:rsid w:val="00D8205D"/>
    <w:rsid w:val="00D82A69"/>
    <w:rsid w:val="00D8352F"/>
    <w:rsid w:val="00D836E9"/>
    <w:rsid w:val="00D83760"/>
    <w:rsid w:val="00D8395B"/>
    <w:rsid w:val="00D83D93"/>
    <w:rsid w:val="00D844C1"/>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44F"/>
    <w:rsid w:val="00D879C1"/>
    <w:rsid w:val="00D87B29"/>
    <w:rsid w:val="00D87D72"/>
    <w:rsid w:val="00D9035B"/>
    <w:rsid w:val="00D90444"/>
    <w:rsid w:val="00D90A77"/>
    <w:rsid w:val="00D90BA1"/>
    <w:rsid w:val="00D91492"/>
    <w:rsid w:val="00D9177C"/>
    <w:rsid w:val="00D91911"/>
    <w:rsid w:val="00D91A0A"/>
    <w:rsid w:val="00D91A82"/>
    <w:rsid w:val="00D91B5D"/>
    <w:rsid w:val="00D91B8A"/>
    <w:rsid w:val="00D92F25"/>
    <w:rsid w:val="00D9376B"/>
    <w:rsid w:val="00D93E53"/>
    <w:rsid w:val="00D9449B"/>
    <w:rsid w:val="00D94A33"/>
    <w:rsid w:val="00D94AD1"/>
    <w:rsid w:val="00D96232"/>
    <w:rsid w:val="00D96787"/>
    <w:rsid w:val="00D967A5"/>
    <w:rsid w:val="00D96B99"/>
    <w:rsid w:val="00D96D89"/>
    <w:rsid w:val="00D97CB3"/>
    <w:rsid w:val="00D97F7F"/>
    <w:rsid w:val="00DA00C4"/>
    <w:rsid w:val="00DA00E5"/>
    <w:rsid w:val="00DA037D"/>
    <w:rsid w:val="00DA1306"/>
    <w:rsid w:val="00DA182E"/>
    <w:rsid w:val="00DA1E23"/>
    <w:rsid w:val="00DA31BB"/>
    <w:rsid w:val="00DA32AF"/>
    <w:rsid w:val="00DA33EF"/>
    <w:rsid w:val="00DA35AD"/>
    <w:rsid w:val="00DA3EAD"/>
    <w:rsid w:val="00DA4370"/>
    <w:rsid w:val="00DA4479"/>
    <w:rsid w:val="00DA4694"/>
    <w:rsid w:val="00DA477A"/>
    <w:rsid w:val="00DA4973"/>
    <w:rsid w:val="00DA4F32"/>
    <w:rsid w:val="00DA5172"/>
    <w:rsid w:val="00DA5259"/>
    <w:rsid w:val="00DA545B"/>
    <w:rsid w:val="00DA585B"/>
    <w:rsid w:val="00DA5A3E"/>
    <w:rsid w:val="00DA67B4"/>
    <w:rsid w:val="00DA6B61"/>
    <w:rsid w:val="00DA6CF4"/>
    <w:rsid w:val="00DA70E8"/>
    <w:rsid w:val="00DA73AF"/>
    <w:rsid w:val="00DA7CFE"/>
    <w:rsid w:val="00DB0056"/>
    <w:rsid w:val="00DB016D"/>
    <w:rsid w:val="00DB09C0"/>
    <w:rsid w:val="00DB0DD9"/>
    <w:rsid w:val="00DB10A8"/>
    <w:rsid w:val="00DB11DF"/>
    <w:rsid w:val="00DB19CC"/>
    <w:rsid w:val="00DB2C19"/>
    <w:rsid w:val="00DB30F4"/>
    <w:rsid w:val="00DB31E4"/>
    <w:rsid w:val="00DB3A12"/>
    <w:rsid w:val="00DB3D95"/>
    <w:rsid w:val="00DB3D9F"/>
    <w:rsid w:val="00DB436C"/>
    <w:rsid w:val="00DB49CD"/>
    <w:rsid w:val="00DB5435"/>
    <w:rsid w:val="00DB5698"/>
    <w:rsid w:val="00DB575F"/>
    <w:rsid w:val="00DB59FC"/>
    <w:rsid w:val="00DB63F0"/>
    <w:rsid w:val="00DB66AC"/>
    <w:rsid w:val="00DB6947"/>
    <w:rsid w:val="00DB6D8A"/>
    <w:rsid w:val="00DB6E07"/>
    <w:rsid w:val="00DB7131"/>
    <w:rsid w:val="00DB7344"/>
    <w:rsid w:val="00DB73D7"/>
    <w:rsid w:val="00DB768C"/>
    <w:rsid w:val="00DB77CD"/>
    <w:rsid w:val="00DB7E20"/>
    <w:rsid w:val="00DB7E8D"/>
    <w:rsid w:val="00DB7ED2"/>
    <w:rsid w:val="00DB7FA2"/>
    <w:rsid w:val="00DC0050"/>
    <w:rsid w:val="00DC08BF"/>
    <w:rsid w:val="00DC0D2B"/>
    <w:rsid w:val="00DC0EA9"/>
    <w:rsid w:val="00DC1061"/>
    <w:rsid w:val="00DC10F2"/>
    <w:rsid w:val="00DC1326"/>
    <w:rsid w:val="00DC143B"/>
    <w:rsid w:val="00DC1926"/>
    <w:rsid w:val="00DC1C01"/>
    <w:rsid w:val="00DC1E36"/>
    <w:rsid w:val="00DC2244"/>
    <w:rsid w:val="00DC22A2"/>
    <w:rsid w:val="00DC2860"/>
    <w:rsid w:val="00DC2886"/>
    <w:rsid w:val="00DC2B13"/>
    <w:rsid w:val="00DC2C91"/>
    <w:rsid w:val="00DC390F"/>
    <w:rsid w:val="00DC3A85"/>
    <w:rsid w:val="00DC4CD9"/>
    <w:rsid w:val="00DC56E3"/>
    <w:rsid w:val="00DC5DB6"/>
    <w:rsid w:val="00DC6192"/>
    <w:rsid w:val="00DC6EC3"/>
    <w:rsid w:val="00DC77BD"/>
    <w:rsid w:val="00DC7ADB"/>
    <w:rsid w:val="00DC7B45"/>
    <w:rsid w:val="00DC7B88"/>
    <w:rsid w:val="00DC7C54"/>
    <w:rsid w:val="00DC7F49"/>
    <w:rsid w:val="00DD0179"/>
    <w:rsid w:val="00DD09EB"/>
    <w:rsid w:val="00DD0C04"/>
    <w:rsid w:val="00DD0CED"/>
    <w:rsid w:val="00DD15F1"/>
    <w:rsid w:val="00DD1A9E"/>
    <w:rsid w:val="00DD2301"/>
    <w:rsid w:val="00DD2520"/>
    <w:rsid w:val="00DD28FB"/>
    <w:rsid w:val="00DD30CB"/>
    <w:rsid w:val="00DD323E"/>
    <w:rsid w:val="00DD357B"/>
    <w:rsid w:val="00DD3791"/>
    <w:rsid w:val="00DD3A1E"/>
    <w:rsid w:val="00DD3AFE"/>
    <w:rsid w:val="00DD3D22"/>
    <w:rsid w:val="00DD417C"/>
    <w:rsid w:val="00DD426D"/>
    <w:rsid w:val="00DD436B"/>
    <w:rsid w:val="00DD4752"/>
    <w:rsid w:val="00DD47E4"/>
    <w:rsid w:val="00DD488F"/>
    <w:rsid w:val="00DD4AFB"/>
    <w:rsid w:val="00DD4D46"/>
    <w:rsid w:val="00DD4DAF"/>
    <w:rsid w:val="00DD50A3"/>
    <w:rsid w:val="00DD5130"/>
    <w:rsid w:val="00DD5595"/>
    <w:rsid w:val="00DD584B"/>
    <w:rsid w:val="00DD5948"/>
    <w:rsid w:val="00DD616C"/>
    <w:rsid w:val="00DD6294"/>
    <w:rsid w:val="00DD67E5"/>
    <w:rsid w:val="00DD6A57"/>
    <w:rsid w:val="00DD6DAA"/>
    <w:rsid w:val="00DD6DE4"/>
    <w:rsid w:val="00DD7848"/>
    <w:rsid w:val="00DD7EAF"/>
    <w:rsid w:val="00DE01F6"/>
    <w:rsid w:val="00DE0520"/>
    <w:rsid w:val="00DE0CD5"/>
    <w:rsid w:val="00DE0FBE"/>
    <w:rsid w:val="00DE1031"/>
    <w:rsid w:val="00DE1B18"/>
    <w:rsid w:val="00DE1D5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CE5"/>
    <w:rsid w:val="00DE4063"/>
    <w:rsid w:val="00DE472C"/>
    <w:rsid w:val="00DE4B1A"/>
    <w:rsid w:val="00DE56AD"/>
    <w:rsid w:val="00DE5A62"/>
    <w:rsid w:val="00DE686E"/>
    <w:rsid w:val="00DE6EB9"/>
    <w:rsid w:val="00DE76A7"/>
    <w:rsid w:val="00DE78CE"/>
    <w:rsid w:val="00DE7B6E"/>
    <w:rsid w:val="00DF074F"/>
    <w:rsid w:val="00DF0ED7"/>
    <w:rsid w:val="00DF123F"/>
    <w:rsid w:val="00DF12B3"/>
    <w:rsid w:val="00DF17D8"/>
    <w:rsid w:val="00DF1A16"/>
    <w:rsid w:val="00DF1C08"/>
    <w:rsid w:val="00DF21F4"/>
    <w:rsid w:val="00DF2409"/>
    <w:rsid w:val="00DF2583"/>
    <w:rsid w:val="00DF26B1"/>
    <w:rsid w:val="00DF2865"/>
    <w:rsid w:val="00DF2CE5"/>
    <w:rsid w:val="00DF2E7F"/>
    <w:rsid w:val="00DF3158"/>
    <w:rsid w:val="00DF3219"/>
    <w:rsid w:val="00DF3814"/>
    <w:rsid w:val="00DF3BF6"/>
    <w:rsid w:val="00DF3DA5"/>
    <w:rsid w:val="00DF4400"/>
    <w:rsid w:val="00DF480A"/>
    <w:rsid w:val="00DF4CAF"/>
    <w:rsid w:val="00DF4FB9"/>
    <w:rsid w:val="00DF52D1"/>
    <w:rsid w:val="00DF5789"/>
    <w:rsid w:val="00DF5984"/>
    <w:rsid w:val="00DF5A45"/>
    <w:rsid w:val="00DF6037"/>
    <w:rsid w:val="00DF630F"/>
    <w:rsid w:val="00DF663B"/>
    <w:rsid w:val="00DF6BBE"/>
    <w:rsid w:val="00DF6E21"/>
    <w:rsid w:val="00DF71D8"/>
    <w:rsid w:val="00E006FB"/>
    <w:rsid w:val="00E00719"/>
    <w:rsid w:val="00E0085F"/>
    <w:rsid w:val="00E0188B"/>
    <w:rsid w:val="00E01CA7"/>
    <w:rsid w:val="00E020CB"/>
    <w:rsid w:val="00E02D07"/>
    <w:rsid w:val="00E02E95"/>
    <w:rsid w:val="00E033BA"/>
    <w:rsid w:val="00E03692"/>
    <w:rsid w:val="00E037C1"/>
    <w:rsid w:val="00E0382F"/>
    <w:rsid w:val="00E03980"/>
    <w:rsid w:val="00E03DA9"/>
    <w:rsid w:val="00E041EC"/>
    <w:rsid w:val="00E047AD"/>
    <w:rsid w:val="00E0489F"/>
    <w:rsid w:val="00E058EE"/>
    <w:rsid w:val="00E05C35"/>
    <w:rsid w:val="00E06676"/>
    <w:rsid w:val="00E066F5"/>
    <w:rsid w:val="00E06A0D"/>
    <w:rsid w:val="00E0716E"/>
    <w:rsid w:val="00E073BA"/>
    <w:rsid w:val="00E075DE"/>
    <w:rsid w:val="00E0775F"/>
    <w:rsid w:val="00E07AA3"/>
    <w:rsid w:val="00E07AB5"/>
    <w:rsid w:val="00E10A5A"/>
    <w:rsid w:val="00E10EC8"/>
    <w:rsid w:val="00E11D68"/>
    <w:rsid w:val="00E11DB0"/>
    <w:rsid w:val="00E120FC"/>
    <w:rsid w:val="00E1213E"/>
    <w:rsid w:val="00E1219F"/>
    <w:rsid w:val="00E1228B"/>
    <w:rsid w:val="00E12742"/>
    <w:rsid w:val="00E12CBB"/>
    <w:rsid w:val="00E12D6C"/>
    <w:rsid w:val="00E12EDF"/>
    <w:rsid w:val="00E13408"/>
    <w:rsid w:val="00E1448C"/>
    <w:rsid w:val="00E14B7B"/>
    <w:rsid w:val="00E14D04"/>
    <w:rsid w:val="00E15B76"/>
    <w:rsid w:val="00E16431"/>
    <w:rsid w:val="00E16805"/>
    <w:rsid w:val="00E1695A"/>
    <w:rsid w:val="00E16B28"/>
    <w:rsid w:val="00E16CA5"/>
    <w:rsid w:val="00E16D2F"/>
    <w:rsid w:val="00E17B40"/>
    <w:rsid w:val="00E17D6E"/>
    <w:rsid w:val="00E17F71"/>
    <w:rsid w:val="00E20DD3"/>
    <w:rsid w:val="00E2102D"/>
    <w:rsid w:val="00E21224"/>
    <w:rsid w:val="00E2148C"/>
    <w:rsid w:val="00E21C86"/>
    <w:rsid w:val="00E21EAD"/>
    <w:rsid w:val="00E21F8A"/>
    <w:rsid w:val="00E223B3"/>
    <w:rsid w:val="00E22541"/>
    <w:rsid w:val="00E22D6F"/>
    <w:rsid w:val="00E22E87"/>
    <w:rsid w:val="00E2360B"/>
    <w:rsid w:val="00E23C52"/>
    <w:rsid w:val="00E23C67"/>
    <w:rsid w:val="00E23CEF"/>
    <w:rsid w:val="00E23D0D"/>
    <w:rsid w:val="00E23FAE"/>
    <w:rsid w:val="00E245C3"/>
    <w:rsid w:val="00E246BA"/>
    <w:rsid w:val="00E247DE"/>
    <w:rsid w:val="00E24BC4"/>
    <w:rsid w:val="00E24F76"/>
    <w:rsid w:val="00E2631F"/>
    <w:rsid w:val="00E2675C"/>
    <w:rsid w:val="00E26A6B"/>
    <w:rsid w:val="00E26D12"/>
    <w:rsid w:val="00E27665"/>
    <w:rsid w:val="00E278AC"/>
    <w:rsid w:val="00E27BEE"/>
    <w:rsid w:val="00E3052B"/>
    <w:rsid w:val="00E30EEA"/>
    <w:rsid w:val="00E31471"/>
    <w:rsid w:val="00E31710"/>
    <w:rsid w:val="00E32188"/>
    <w:rsid w:val="00E328D8"/>
    <w:rsid w:val="00E32CE2"/>
    <w:rsid w:val="00E32D37"/>
    <w:rsid w:val="00E32F10"/>
    <w:rsid w:val="00E33B59"/>
    <w:rsid w:val="00E33C12"/>
    <w:rsid w:val="00E33F65"/>
    <w:rsid w:val="00E34142"/>
    <w:rsid w:val="00E3460C"/>
    <w:rsid w:val="00E3489A"/>
    <w:rsid w:val="00E3495E"/>
    <w:rsid w:val="00E35CB7"/>
    <w:rsid w:val="00E35F92"/>
    <w:rsid w:val="00E3617F"/>
    <w:rsid w:val="00E3638F"/>
    <w:rsid w:val="00E37667"/>
    <w:rsid w:val="00E4024F"/>
    <w:rsid w:val="00E406DA"/>
    <w:rsid w:val="00E40ADA"/>
    <w:rsid w:val="00E40B1E"/>
    <w:rsid w:val="00E415FC"/>
    <w:rsid w:val="00E4170E"/>
    <w:rsid w:val="00E4246E"/>
    <w:rsid w:val="00E43398"/>
    <w:rsid w:val="00E43AA3"/>
    <w:rsid w:val="00E43EB0"/>
    <w:rsid w:val="00E43FB8"/>
    <w:rsid w:val="00E44214"/>
    <w:rsid w:val="00E44A83"/>
    <w:rsid w:val="00E44BFF"/>
    <w:rsid w:val="00E44C59"/>
    <w:rsid w:val="00E453AF"/>
    <w:rsid w:val="00E4549D"/>
    <w:rsid w:val="00E45BF2"/>
    <w:rsid w:val="00E45DEA"/>
    <w:rsid w:val="00E4677E"/>
    <w:rsid w:val="00E46935"/>
    <w:rsid w:val="00E47684"/>
    <w:rsid w:val="00E47A76"/>
    <w:rsid w:val="00E500ED"/>
    <w:rsid w:val="00E50366"/>
    <w:rsid w:val="00E50C4C"/>
    <w:rsid w:val="00E51829"/>
    <w:rsid w:val="00E52D7D"/>
    <w:rsid w:val="00E52E0B"/>
    <w:rsid w:val="00E53651"/>
    <w:rsid w:val="00E53DCD"/>
    <w:rsid w:val="00E54066"/>
    <w:rsid w:val="00E54291"/>
    <w:rsid w:val="00E54585"/>
    <w:rsid w:val="00E5459C"/>
    <w:rsid w:val="00E5475E"/>
    <w:rsid w:val="00E549C2"/>
    <w:rsid w:val="00E55537"/>
    <w:rsid w:val="00E557B5"/>
    <w:rsid w:val="00E55E1B"/>
    <w:rsid w:val="00E56BD8"/>
    <w:rsid w:val="00E56F3C"/>
    <w:rsid w:val="00E574B1"/>
    <w:rsid w:val="00E57B6A"/>
    <w:rsid w:val="00E57D28"/>
    <w:rsid w:val="00E60952"/>
    <w:rsid w:val="00E61819"/>
    <w:rsid w:val="00E61E23"/>
    <w:rsid w:val="00E620A6"/>
    <w:rsid w:val="00E6210D"/>
    <w:rsid w:val="00E62171"/>
    <w:rsid w:val="00E62656"/>
    <w:rsid w:val="00E62768"/>
    <w:rsid w:val="00E62781"/>
    <w:rsid w:val="00E62E62"/>
    <w:rsid w:val="00E62F0B"/>
    <w:rsid w:val="00E6448D"/>
    <w:rsid w:val="00E6462C"/>
    <w:rsid w:val="00E64745"/>
    <w:rsid w:val="00E64A14"/>
    <w:rsid w:val="00E65BCA"/>
    <w:rsid w:val="00E65F73"/>
    <w:rsid w:val="00E65F80"/>
    <w:rsid w:val="00E66365"/>
    <w:rsid w:val="00E664B9"/>
    <w:rsid w:val="00E66FF1"/>
    <w:rsid w:val="00E672DE"/>
    <w:rsid w:val="00E70029"/>
    <w:rsid w:val="00E71702"/>
    <w:rsid w:val="00E718FA"/>
    <w:rsid w:val="00E719D3"/>
    <w:rsid w:val="00E720FE"/>
    <w:rsid w:val="00E7210E"/>
    <w:rsid w:val="00E72A86"/>
    <w:rsid w:val="00E72C29"/>
    <w:rsid w:val="00E72D83"/>
    <w:rsid w:val="00E73583"/>
    <w:rsid w:val="00E73A50"/>
    <w:rsid w:val="00E73E05"/>
    <w:rsid w:val="00E7442B"/>
    <w:rsid w:val="00E748F5"/>
    <w:rsid w:val="00E74DB2"/>
    <w:rsid w:val="00E74EE7"/>
    <w:rsid w:val="00E75023"/>
    <w:rsid w:val="00E75236"/>
    <w:rsid w:val="00E75D1A"/>
    <w:rsid w:val="00E76782"/>
    <w:rsid w:val="00E76956"/>
    <w:rsid w:val="00E76AE4"/>
    <w:rsid w:val="00E76B6E"/>
    <w:rsid w:val="00E76DB9"/>
    <w:rsid w:val="00E77030"/>
    <w:rsid w:val="00E773C5"/>
    <w:rsid w:val="00E77744"/>
    <w:rsid w:val="00E777AD"/>
    <w:rsid w:val="00E779CB"/>
    <w:rsid w:val="00E80B80"/>
    <w:rsid w:val="00E814BC"/>
    <w:rsid w:val="00E81603"/>
    <w:rsid w:val="00E81756"/>
    <w:rsid w:val="00E81A4E"/>
    <w:rsid w:val="00E81A79"/>
    <w:rsid w:val="00E82C70"/>
    <w:rsid w:val="00E82DC8"/>
    <w:rsid w:val="00E83D1B"/>
    <w:rsid w:val="00E84AB4"/>
    <w:rsid w:val="00E84B48"/>
    <w:rsid w:val="00E84CC9"/>
    <w:rsid w:val="00E84EBF"/>
    <w:rsid w:val="00E8590A"/>
    <w:rsid w:val="00E85F38"/>
    <w:rsid w:val="00E861A8"/>
    <w:rsid w:val="00E8664F"/>
    <w:rsid w:val="00E86ED2"/>
    <w:rsid w:val="00E87080"/>
    <w:rsid w:val="00E871DB"/>
    <w:rsid w:val="00E87629"/>
    <w:rsid w:val="00E87846"/>
    <w:rsid w:val="00E87853"/>
    <w:rsid w:val="00E90075"/>
    <w:rsid w:val="00E90423"/>
    <w:rsid w:val="00E9047F"/>
    <w:rsid w:val="00E90630"/>
    <w:rsid w:val="00E90C12"/>
    <w:rsid w:val="00E90F1F"/>
    <w:rsid w:val="00E91621"/>
    <w:rsid w:val="00E9187D"/>
    <w:rsid w:val="00E91C47"/>
    <w:rsid w:val="00E91D47"/>
    <w:rsid w:val="00E91FEE"/>
    <w:rsid w:val="00E92935"/>
    <w:rsid w:val="00E9426C"/>
    <w:rsid w:val="00E94784"/>
    <w:rsid w:val="00E949D3"/>
    <w:rsid w:val="00E94A10"/>
    <w:rsid w:val="00E95D01"/>
    <w:rsid w:val="00E95F82"/>
    <w:rsid w:val="00E96141"/>
    <w:rsid w:val="00E96473"/>
    <w:rsid w:val="00E96829"/>
    <w:rsid w:val="00E9686D"/>
    <w:rsid w:val="00E9720F"/>
    <w:rsid w:val="00E9757C"/>
    <w:rsid w:val="00E9760E"/>
    <w:rsid w:val="00E97928"/>
    <w:rsid w:val="00E97A5E"/>
    <w:rsid w:val="00EA0D57"/>
    <w:rsid w:val="00EA0E45"/>
    <w:rsid w:val="00EA1EAD"/>
    <w:rsid w:val="00EA205B"/>
    <w:rsid w:val="00EA3628"/>
    <w:rsid w:val="00EA36D3"/>
    <w:rsid w:val="00EA3702"/>
    <w:rsid w:val="00EA38FA"/>
    <w:rsid w:val="00EA446D"/>
    <w:rsid w:val="00EA460C"/>
    <w:rsid w:val="00EA4907"/>
    <w:rsid w:val="00EA4974"/>
    <w:rsid w:val="00EA4A2E"/>
    <w:rsid w:val="00EA4BCD"/>
    <w:rsid w:val="00EA4CE0"/>
    <w:rsid w:val="00EA4EE3"/>
    <w:rsid w:val="00EA52B7"/>
    <w:rsid w:val="00EA5618"/>
    <w:rsid w:val="00EA5AC7"/>
    <w:rsid w:val="00EA6303"/>
    <w:rsid w:val="00EA63E7"/>
    <w:rsid w:val="00EA67FD"/>
    <w:rsid w:val="00EA6872"/>
    <w:rsid w:val="00EA69A8"/>
    <w:rsid w:val="00EA6B29"/>
    <w:rsid w:val="00EA6B90"/>
    <w:rsid w:val="00EA6EA1"/>
    <w:rsid w:val="00EA740F"/>
    <w:rsid w:val="00EA7587"/>
    <w:rsid w:val="00EA7A0F"/>
    <w:rsid w:val="00EB04B5"/>
    <w:rsid w:val="00EB06AF"/>
    <w:rsid w:val="00EB1023"/>
    <w:rsid w:val="00EB1073"/>
    <w:rsid w:val="00EB199B"/>
    <w:rsid w:val="00EB1BC0"/>
    <w:rsid w:val="00EB210B"/>
    <w:rsid w:val="00EB2248"/>
    <w:rsid w:val="00EB2453"/>
    <w:rsid w:val="00EB269D"/>
    <w:rsid w:val="00EB2979"/>
    <w:rsid w:val="00EB36CB"/>
    <w:rsid w:val="00EB39F9"/>
    <w:rsid w:val="00EB3BCE"/>
    <w:rsid w:val="00EB3FD7"/>
    <w:rsid w:val="00EB47E5"/>
    <w:rsid w:val="00EB5877"/>
    <w:rsid w:val="00EB5A86"/>
    <w:rsid w:val="00EB5CAD"/>
    <w:rsid w:val="00EB61ED"/>
    <w:rsid w:val="00EB621E"/>
    <w:rsid w:val="00EB65A1"/>
    <w:rsid w:val="00EB6633"/>
    <w:rsid w:val="00EB684B"/>
    <w:rsid w:val="00EB6F79"/>
    <w:rsid w:val="00EB730C"/>
    <w:rsid w:val="00EB7561"/>
    <w:rsid w:val="00EB7939"/>
    <w:rsid w:val="00EB7B45"/>
    <w:rsid w:val="00EB7C89"/>
    <w:rsid w:val="00EC0324"/>
    <w:rsid w:val="00EC0DD2"/>
    <w:rsid w:val="00EC0E73"/>
    <w:rsid w:val="00EC13B2"/>
    <w:rsid w:val="00EC1543"/>
    <w:rsid w:val="00EC23B5"/>
    <w:rsid w:val="00EC2BC2"/>
    <w:rsid w:val="00EC2C2F"/>
    <w:rsid w:val="00EC2CF2"/>
    <w:rsid w:val="00EC2D72"/>
    <w:rsid w:val="00EC2DE4"/>
    <w:rsid w:val="00EC3159"/>
    <w:rsid w:val="00EC323A"/>
    <w:rsid w:val="00EC34E3"/>
    <w:rsid w:val="00EC3700"/>
    <w:rsid w:val="00EC37CE"/>
    <w:rsid w:val="00EC3C14"/>
    <w:rsid w:val="00EC3D4A"/>
    <w:rsid w:val="00EC3FFF"/>
    <w:rsid w:val="00EC4820"/>
    <w:rsid w:val="00EC5062"/>
    <w:rsid w:val="00EC53F0"/>
    <w:rsid w:val="00EC581C"/>
    <w:rsid w:val="00EC5DD1"/>
    <w:rsid w:val="00EC70F7"/>
    <w:rsid w:val="00EC7EB7"/>
    <w:rsid w:val="00EC7F4A"/>
    <w:rsid w:val="00ED0291"/>
    <w:rsid w:val="00ED0516"/>
    <w:rsid w:val="00ED053F"/>
    <w:rsid w:val="00ED0BC4"/>
    <w:rsid w:val="00ED198F"/>
    <w:rsid w:val="00ED1A2D"/>
    <w:rsid w:val="00ED1BFF"/>
    <w:rsid w:val="00ED241C"/>
    <w:rsid w:val="00ED26AE"/>
    <w:rsid w:val="00ED28D4"/>
    <w:rsid w:val="00ED296D"/>
    <w:rsid w:val="00ED2B38"/>
    <w:rsid w:val="00ED2F2E"/>
    <w:rsid w:val="00ED3A50"/>
    <w:rsid w:val="00ED4090"/>
    <w:rsid w:val="00ED4348"/>
    <w:rsid w:val="00ED43DA"/>
    <w:rsid w:val="00ED46D7"/>
    <w:rsid w:val="00ED4C1B"/>
    <w:rsid w:val="00ED529E"/>
    <w:rsid w:val="00ED542F"/>
    <w:rsid w:val="00ED66C5"/>
    <w:rsid w:val="00ED6A8D"/>
    <w:rsid w:val="00ED6B2E"/>
    <w:rsid w:val="00ED6EBD"/>
    <w:rsid w:val="00ED710B"/>
    <w:rsid w:val="00ED7133"/>
    <w:rsid w:val="00EE11F8"/>
    <w:rsid w:val="00EE14A7"/>
    <w:rsid w:val="00EE190E"/>
    <w:rsid w:val="00EE1BEB"/>
    <w:rsid w:val="00EE1E35"/>
    <w:rsid w:val="00EE27E2"/>
    <w:rsid w:val="00EE2819"/>
    <w:rsid w:val="00EE2EC4"/>
    <w:rsid w:val="00EE38B4"/>
    <w:rsid w:val="00EE392A"/>
    <w:rsid w:val="00EE3A60"/>
    <w:rsid w:val="00EE3B06"/>
    <w:rsid w:val="00EE3B46"/>
    <w:rsid w:val="00EE3F23"/>
    <w:rsid w:val="00EE59ED"/>
    <w:rsid w:val="00EE60A1"/>
    <w:rsid w:val="00EE6168"/>
    <w:rsid w:val="00EE6853"/>
    <w:rsid w:val="00EE6C9F"/>
    <w:rsid w:val="00EE7E5F"/>
    <w:rsid w:val="00EF01F1"/>
    <w:rsid w:val="00EF0345"/>
    <w:rsid w:val="00EF04B9"/>
    <w:rsid w:val="00EF067D"/>
    <w:rsid w:val="00EF0CF9"/>
    <w:rsid w:val="00EF105D"/>
    <w:rsid w:val="00EF1A9B"/>
    <w:rsid w:val="00EF2262"/>
    <w:rsid w:val="00EF2380"/>
    <w:rsid w:val="00EF24F5"/>
    <w:rsid w:val="00EF2565"/>
    <w:rsid w:val="00EF2765"/>
    <w:rsid w:val="00EF27D0"/>
    <w:rsid w:val="00EF28B1"/>
    <w:rsid w:val="00EF2DE8"/>
    <w:rsid w:val="00EF32F6"/>
    <w:rsid w:val="00EF4580"/>
    <w:rsid w:val="00EF4D4A"/>
    <w:rsid w:val="00EF4EF1"/>
    <w:rsid w:val="00EF539F"/>
    <w:rsid w:val="00EF5925"/>
    <w:rsid w:val="00EF662C"/>
    <w:rsid w:val="00EF6928"/>
    <w:rsid w:val="00EF6DB5"/>
    <w:rsid w:val="00EF6FA9"/>
    <w:rsid w:val="00EF7405"/>
    <w:rsid w:val="00EF78EA"/>
    <w:rsid w:val="00EF7ED5"/>
    <w:rsid w:val="00F016E4"/>
    <w:rsid w:val="00F017DC"/>
    <w:rsid w:val="00F01CB5"/>
    <w:rsid w:val="00F01E6C"/>
    <w:rsid w:val="00F02075"/>
    <w:rsid w:val="00F03219"/>
    <w:rsid w:val="00F03702"/>
    <w:rsid w:val="00F03C06"/>
    <w:rsid w:val="00F04097"/>
    <w:rsid w:val="00F045E2"/>
    <w:rsid w:val="00F04CAD"/>
    <w:rsid w:val="00F04EA7"/>
    <w:rsid w:val="00F051B0"/>
    <w:rsid w:val="00F05409"/>
    <w:rsid w:val="00F06034"/>
    <w:rsid w:val="00F06448"/>
    <w:rsid w:val="00F0689B"/>
    <w:rsid w:val="00F06E52"/>
    <w:rsid w:val="00F06F62"/>
    <w:rsid w:val="00F077E9"/>
    <w:rsid w:val="00F078AE"/>
    <w:rsid w:val="00F07EC3"/>
    <w:rsid w:val="00F07FE8"/>
    <w:rsid w:val="00F100E0"/>
    <w:rsid w:val="00F10625"/>
    <w:rsid w:val="00F1079D"/>
    <w:rsid w:val="00F11081"/>
    <w:rsid w:val="00F11209"/>
    <w:rsid w:val="00F11547"/>
    <w:rsid w:val="00F11A95"/>
    <w:rsid w:val="00F11C39"/>
    <w:rsid w:val="00F11CEB"/>
    <w:rsid w:val="00F1248F"/>
    <w:rsid w:val="00F1264C"/>
    <w:rsid w:val="00F126D2"/>
    <w:rsid w:val="00F12C6A"/>
    <w:rsid w:val="00F130A4"/>
    <w:rsid w:val="00F13573"/>
    <w:rsid w:val="00F139E1"/>
    <w:rsid w:val="00F13EA0"/>
    <w:rsid w:val="00F140E4"/>
    <w:rsid w:val="00F14107"/>
    <w:rsid w:val="00F1457D"/>
    <w:rsid w:val="00F14673"/>
    <w:rsid w:val="00F1469A"/>
    <w:rsid w:val="00F1480E"/>
    <w:rsid w:val="00F149A3"/>
    <w:rsid w:val="00F1501B"/>
    <w:rsid w:val="00F15443"/>
    <w:rsid w:val="00F15BD1"/>
    <w:rsid w:val="00F16440"/>
    <w:rsid w:val="00F16554"/>
    <w:rsid w:val="00F1677E"/>
    <w:rsid w:val="00F174DB"/>
    <w:rsid w:val="00F1767B"/>
    <w:rsid w:val="00F17B2F"/>
    <w:rsid w:val="00F20583"/>
    <w:rsid w:val="00F20797"/>
    <w:rsid w:val="00F20E6E"/>
    <w:rsid w:val="00F21185"/>
    <w:rsid w:val="00F211C1"/>
    <w:rsid w:val="00F217CB"/>
    <w:rsid w:val="00F21874"/>
    <w:rsid w:val="00F2199E"/>
    <w:rsid w:val="00F21B43"/>
    <w:rsid w:val="00F21E65"/>
    <w:rsid w:val="00F21EEB"/>
    <w:rsid w:val="00F22268"/>
    <w:rsid w:val="00F2231E"/>
    <w:rsid w:val="00F22877"/>
    <w:rsid w:val="00F23077"/>
    <w:rsid w:val="00F234F2"/>
    <w:rsid w:val="00F236E1"/>
    <w:rsid w:val="00F240F6"/>
    <w:rsid w:val="00F24486"/>
    <w:rsid w:val="00F24755"/>
    <w:rsid w:val="00F25875"/>
    <w:rsid w:val="00F25E7A"/>
    <w:rsid w:val="00F25F15"/>
    <w:rsid w:val="00F25FDD"/>
    <w:rsid w:val="00F26877"/>
    <w:rsid w:val="00F268BA"/>
    <w:rsid w:val="00F26E93"/>
    <w:rsid w:val="00F26F42"/>
    <w:rsid w:val="00F272E0"/>
    <w:rsid w:val="00F273BB"/>
    <w:rsid w:val="00F275D4"/>
    <w:rsid w:val="00F30562"/>
    <w:rsid w:val="00F30952"/>
    <w:rsid w:val="00F30CB3"/>
    <w:rsid w:val="00F3163A"/>
    <w:rsid w:val="00F31A97"/>
    <w:rsid w:val="00F31DDB"/>
    <w:rsid w:val="00F3200C"/>
    <w:rsid w:val="00F320EB"/>
    <w:rsid w:val="00F321E3"/>
    <w:rsid w:val="00F323D2"/>
    <w:rsid w:val="00F32665"/>
    <w:rsid w:val="00F32E30"/>
    <w:rsid w:val="00F32EE7"/>
    <w:rsid w:val="00F330A5"/>
    <w:rsid w:val="00F3344A"/>
    <w:rsid w:val="00F3372C"/>
    <w:rsid w:val="00F33FEC"/>
    <w:rsid w:val="00F3411B"/>
    <w:rsid w:val="00F35842"/>
    <w:rsid w:val="00F359EB"/>
    <w:rsid w:val="00F36501"/>
    <w:rsid w:val="00F36694"/>
    <w:rsid w:val="00F36CD4"/>
    <w:rsid w:val="00F3703F"/>
    <w:rsid w:val="00F3767D"/>
    <w:rsid w:val="00F37743"/>
    <w:rsid w:val="00F4012C"/>
    <w:rsid w:val="00F4063A"/>
    <w:rsid w:val="00F4093E"/>
    <w:rsid w:val="00F4170C"/>
    <w:rsid w:val="00F41879"/>
    <w:rsid w:val="00F41CFF"/>
    <w:rsid w:val="00F42280"/>
    <w:rsid w:val="00F4243B"/>
    <w:rsid w:val="00F42646"/>
    <w:rsid w:val="00F42AC1"/>
    <w:rsid w:val="00F42EA6"/>
    <w:rsid w:val="00F42FD1"/>
    <w:rsid w:val="00F43598"/>
    <w:rsid w:val="00F436D2"/>
    <w:rsid w:val="00F43A0D"/>
    <w:rsid w:val="00F43BF4"/>
    <w:rsid w:val="00F44001"/>
    <w:rsid w:val="00F45032"/>
    <w:rsid w:val="00F4606E"/>
    <w:rsid w:val="00F461EB"/>
    <w:rsid w:val="00F4667C"/>
    <w:rsid w:val="00F46963"/>
    <w:rsid w:val="00F47047"/>
    <w:rsid w:val="00F4761B"/>
    <w:rsid w:val="00F4786F"/>
    <w:rsid w:val="00F4792C"/>
    <w:rsid w:val="00F47C30"/>
    <w:rsid w:val="00F50392"/>
    <w:rsid w:val="00F50828"/>
    <w:rsid w:val="00F50906"/>
    <w:rsid w:val="00F50AA7"/>
    <w:rsid w:val="00F50C49"/>
    <w:rsid w:val="00F515AB"/>
    <w:rsid w:val="00F517D6"/>
    <w:rsid w:val="00F51F1A"/>
    <w:rsid w:val="00F5211D"/>
    <w:rsid w:val="00F52C19"/>
    <w:rsid w:val="00F52CC2"/>
    <w:rsid w:val="00F53002"/>
    <w:rsid w:val="00F5365A"/>
    <w:rsid w:val="00F53743"/>
    <w:rsid w:val="00F53A09"/>
    <w:rsid w:val="00F53B8B"/>
    <w:rsid w:val="00F53C98"/>
    <w:rsid w:val="00F54714"/>
    <w:rsid w:val="00F54BA2"/>
    <w:rsid w:val="00F54C9C"/>
    <w:rsid w:val="00F554CF"/>
    <w:rsid w:val="00F558D4"/>
    <w:rsid w:val="00F55FFC"/>
    <w:rsid w:val="00F56BF3"/>
    <w:rsid w:val="00F56F60"/>
    <w:rsid w:val="00F576B5"/>
    <w:rsid w:val="00F577C6"/>
    <w:rsid w:val="00F57800"/>
    <w:rsid w:val="00F57F76"/>
    <w:rsid w:val="00F603F5"/>
    <w:rsid w:val="00F6083E"/>
    <w:rsid w:val="00F60B70"/>
    <w:rsid w:val="00F61372"/>
    <w:rsid w:val="00F6185D"/>
    <w:rsid w:val="00F61FC9"/>
    <w:rsid w:val="00F62238"/>
    <w:rsid w:val="00F6223E"/>
    <w:rsid w:val="00F622FD"/>
    <w:rsid w:val="00F62391"/>
    <w:rsid w:val="00F62A2D"/>
    <w:rsid w:val="00F62AC7"/>
    <w:rsid w:val="00F63A0E"/>
    <w:rsid w:val="00F63B07"/>
    <w:rsid w:val="00F63CED"/>
    <w:rsid w:val="00F6416D"/>
    <w:rsid w:val="00F642E8"/>
    <w:rsid w:val="00F64B72"/>
    <w:rsid w:val="00F64FC3"/>
    <w:rsid w:val="00F64FE7"/>
    <w:rsid w:val="00F655DB"/>
    <w:rsid w:val="00F658DA"/>
    <w:rsid w:val="00F65A96"/>
    <w:rsid w:val="00F65B4B"/>
    <w:rsid w:val="00F65B8A"/>
    <w:rsid w:val="00F65E8C"/>
    <w:rsid w:val="00F663A0"/>
    <w:rsid w:val="00F66F43"/>
    <w:rsid w:val="00F678E8"/>
    <w:rsid w:val="00F70D4F"/>
    <w:rsid w:val="00F70FD0"/>
    <w:rsid w:val="00F7113A"/>
    <w:rsid w:val="00F71278"/>
    <w:rsid w:val="00F712F4"/>
    <w:rsid w:val="00F7132A"/>
    <w:rsid w:val="00F721EA"/>
    <w:rsid w:val="00F723C0"/>
    <w:rsid w:val="00F7257B"/>
    <w:rsid w:val="00F72B0E"/>
    <w:rsid w:val="00F72BF8"/>
    <w:rsid w:val="00F72D40"/>
    <w:rsid w:val="00F72D4F"/>
    <w:rsid w:val="00F72F42"/>
    <w:rsid w:val="00F731D2"/>
    <w:rsid w:val="00F73A5D"/>
    <w:rsid w:val="00F73AC5"/>
    <w:rsid w:val="00F73C9D"/>
    <w:rsid w:val="00F73E94"/>
    <w:rsid w:val="00F73F5D"/>
    <w:rsid w:val="00F74FA0"/>
    <w:rsid w:val="00F75181"/>
    <w:rsid w:val="00F75320"/>
    <w:rsid w:val="00F75913"/>
    <w:rsid w:val="00F75E1F"/>
    <w:rsid w:val="00F76222"/>
    <w:rsid w:val="00F767F2"/>
    <w:rsid w:val="00F76D63"/>
    <w:rsid w:val="00F76EF1"/>
    <w:rsid w:val="00F77075"/>
    <w:rsid w:val="00F77748"/>
    <w:rsid w:val="00F77E2A"/>
    <w:rsid w:val="00F804B2"/>
    <w:rsid w:val="00F8050A"/>
    <w:rsid w:val="00F80C8A"/>
    <w:rsid w:val="00F81169"/>
    <w:rsid w:val="00F8119C"/>
    <w:rsid w:val="00F813AF"/>
    <w:rsid w:val="00F82251"/>
    <w:rsid w:val="00F82403"/>
    <w:rsid w:val="00F82B0C"/>
    <w:rsid w:val="00F83339"/>
    <w:rsid w:val="00F83651"/>
    <w:rsid w:val="00F839FE"/>
    <w:rsid w:val="00F83D4F"/>
    <w:rsid w:val="00F8427A"/>
    <w:rsid w:val="00F84CA9"/>
    <w:rsid w:val="00F84E5D"/>
    <w:rsid w:val="00F85338"/>
    <w:rsid w:val="00F855E0"/>
    <w:rsid w:val="00F85A8A"/>
    <w:rsid w:val="00F85E5F"/>
    <w:rsid w:val="00F85FD0"/>
    <w:rsid w:val="00F866D0"/>
    <w:rsid w:val="00F8681C"/>
    <w:rsid w:val="00F86C07"/>
    <w:rsid w:val="00F87A7C"/>
    <w:rsid w:val="00F87D2B"/>
    <w:rsid w:val="00F90ACA"/>
    <w:rsid w:val="00F912FF"/>
    <w:rsid w:val="00F91578"/>
    <w:rsid w:val="00F919A5"/>
    <w:rsid w:val="00F91C99"/>
    <w:rsid w:val="00F92166"/>
    <w:rsid w:val="00F9266C"/>
    <w:rsid w:val="00F94078"/>
    <w:rsid w:val="00F9431A"/>
    <w:rsid w:val="00F94493"/>
    <w:rsid w:val="00F94CF3"/>
    <w:rsid w:val="00F9509D"/>
    <w:rsid w:val="00F957C9"/>
    <w:rsid w:val="00F95A85"/>
    <w:rsid w:val="00F95F8D"/>
    <w:rsid w:val="00F96182"/>
    <w:rsid w:val="00F963DA"/>
    <w:rsid w:val="00F96403"/>
    <w:rsid w:val="00F9643D"/>
    <w:rsid w:val="00F967F7"/>
    <w:rsid w:val="00F96ACB"/>
    <w:rsid w:val="00F972F3"/>
    <w:rsid w:val="00F9735E"/>
    <w:rsid w:val="00F97919"/>
    <w:rsid w:val="00F97C27"/>
    <w:rsid w:val="00FA106A"/>
    <w:rsid w:val="00FA2240"/>
    <w:rsid w:val="00FA27B3"/>
    <w:rsid w:val="00FA2FF6"/>
    <w:rsid w:val="00FA350E"/>
    <w:rsid w:val="00FA4023"/>
    <w:rsid w:val="00FA43A7"/>
    <w:rsid w:val="00FA44D9"/>
    <w:rsid w:val="00FA46C1"/>
    <w:rsid w:val="00FA49C3"/>
    <w:rsid w:val="00FA5B44"/>
    <w:rsid w:val="00FA68B5"/>
    <w:rsid w:val="00FA6CF1"/>
    <w:rsid w:val="00FA7753"/>
    <w:rsid w:val="00FA77BD"/>
    <w:rsid w:val="00FA7FCA"/>
    <w:rsid w:val="00FB01EC"/>
    <w:rsid w:val="00FB0AE6"/>
    <w:rsid w:val="00FB0CC7"/>
    <w:rsid w:val="00FB188E"/>
    <w:rsid w:val="00FB192B"/>
    <w:rsid w:val="00FB1935"/>
    <w:rsid w:val="00FB1A6B"/>
    <w:rsid w:val="00FB1D70"/>
    <w:rsid w:val="00FB20FB"/>
    <w:rsid w:val="00FB21C9"/>
    <w:rsid w:val="00FB240E"/>
    <w:rsid w:val="00FB280F"/>
    <w:rsid w:val="00FB2A0D"/>
    <w:rsid w:val="00FB2BE6"/>
    <w:rsid w:val="00FB2CA5"/>
    <w:rsid w:val="00FB3318"/>
    <w:rsid w:val="00FB3415"/>
    <w:rsid w:val="00FB35FD"/>
    <w:rsid w:val="00FB3A0C"/>
    <w:rsid w:val="00FB44B4"/>
    <w:rsid w:val="00FB463B"/>
    <w:rsid w:val="00FB4EAA"/>
    <w:rsid w:val="00FB5A06"/>
    <w:rsid w:val="00FB791F"/>
    <w:rsid w:val="00FB7943"/>
    <w:rsid w:val="00FB7C6D"/>
    <w:rsid w:val="00FB7F47"/>
    <w:rsid w:val="00FC04E5"/>
    <w:rsid w:val="00FC0734"/>
    <w:rsid w:val="00FC0957"/>
    <w:rsid w:val="00FC0FE0"/>
    <w:rsid w:val="00FC1B2C"/>
    <w:rsid w:val="00FC2034"/>
    <w:rsid w:val="00FC247E"/>
    <w:rsid w:val="00FC26AD"/>
    <w:rsid w:val="00FC2DF9"/>
    <w:rsid w:val="00FC317E"/>
    <w:rsid w:val="00FC328B"/>
    <w:rsid w:val="00FC3BF1"/>
    <w:rsid w:val="00FC3FA0"/>
    <w:rsid w:val="00FC49E2"/>
    <w:rsid w:val="00FC503A"/>
    <w:rsid w:val="00FC5254"/>
    <w:rsid w:val="00FC56FB"/>
    <w:rsid w:val="00FC58F4"/>
    <w:rsid w:val="00FC5A8E"/>
    <w:rsid w:val="00FC6D9B"/>
    <w:rsid w:val="00FC72FD"/>
    <w:rsid w:val="00FC7517"/>
    <w:rsid w:val="00FC799F"/>
    <w:rsid w:val="00FD0020"/>
    <w:rsid w:val="00FD04EE"/>
    <w:rsid w:val="00FD0DC4"/>
    <w:rsid w:val="00FD11D9"/>
    <w:rsid w:val="00FD11F8"/>
    <w:rsid w:val="00FD1613"/>
    <w:rsid w:val="00FD1638"/>
    <w:rsid w:val="00FD1ECC"/>
    <w:rsid w:val="00FD1F92"/>
    <w:rsid w:val="00FD2722"/>
    <w:rsid w:val="00FD272A"/>
    <w:rsid w:val="00FD36F8"/>
    <w:rsid w:val="00FD4326"/>
    <w:rsid w:val="00FD4BC6"/>
    <w:rsid w:val="00FD59E3"/>
    <w:rsid w:val="00FD5C7D"/>
    <w:rsid w:val="00FD61CF"/>
    <w:rsid w:val="00FD63C4"/>
    <w:rsid w:val="00FD6A99"/>
    <w:rsid w:val="00FD6AEA"/>
    <w:rsid w:val="00FD6FB2"/>
    <w:rsid w:val="00FD7C2E"/>
    <w:rsid w:val="00FD7DB4"/>
    <w:rsid w:val="00FD7EB6"/>
    <w:rsid w:val="00FE098C"/>
    <w:rsid w:val="00FE0AF5"/>
    <w:rsid w:val="00FE0D21"/>
    <w:rsid w:val="00FE10A9"/>
    <w:rsid w:val="00FE1199"/>
    <w:rsid w:val="00FE1425"/>
    <w:rsid w:val="00FE14ED"/>
    <w:rsid w:val="00FE162B"/>
    <w:rsid w:val="00FE21E9"/>
    <w:rsid w:val="00FE2D16"/>
    <w:rsid w:val="00FE31B2"/>
    <w:rsid w:val="00FE3716"/>
    <w:rsid w:val="00FE3D19"/>
    <w:rsid w:val="00FE3DAA"/>
    <w:rsid w:val="00FE3E0F"/>
    <w:rsid w:val="00FE40EE"/>
    <w:rsid w:val="00FE4192"/>
    <w:rsid w:val="00FE4D74"/>
    <w:rsid w:val="00FE4EBE"/>
    <w:rsid w:val="00FE559F"/>
    <w:rsid w:val="00FE5DDE"/>
    <w:rsid w:val="00FE6281"/>
    <w:rsid w:val="00FE6865"/>
    <w:rsid w:val="00FE6BDE"/>
    <w:rsid w:val="00FE7473"/>
    <w:rsid w:val="00FE74AB"/>
    <w:rsid w:val="00FE766E"/>
    <w:rsid w:val="00FE7783"/>
    <w:rsid w:val="00FE790B"/>
    <w:rsid w:val="00FF0007"/>
    <w:rsid w:val="00FF03A2"/>
    <w:rsid w:val="00FF0A01"/>
    <w:rsid w:val="00FF0CD1"/>
    <w:rsid w:val="00FF1653"/>
    <w:rsid w:val="00FF231D"/>
    <w:rsid w:val="00FF28FE"/>
    <w:rsid w:val="00FF2BC0"/>
    <w:rsid w:val="00FF32A9"/>
    <w:rsid w:val="00FF33A9"/>
    <w:rsid w:val="00FF3582"/>
    <w:rsid w:val="00FF3907"/>
    <w:rsid w:val="00FF3BC9"/>
    <w:rsid w:val="00FF3FAC"/>
    <w:rsid w:val="00FF4016"/>
    <w:rsid w:val="00FF421B"/>
    <w:rsid w:val="00FF4F68"/>
    <w:rsid w:val="00FF5044"/>
    <w:rsid w:val="00FF52DE"/>
    <w:rsid w:val="00FF55D8"/>
    <w:rsid w:val="00FF565C"/>
    <w:rsid w:val="00FF5A1D"/>
    <w:rsid w:val="00FF5F0C"/>
    <w:rsid w:val="00FF6002"/>
    <w:rsid w:val="00FF601C"/>
    <w:rsid w:val="00FF6341"/>
    <w:rsid w:val="00FF64BE"/>
    <w:rsid w:val="00FF66D1"/>
    <w:rsid w:val="00FF70B5"/>
    <w:rsid w:val="00FF7189"/>
    <w:rsid w:val="00FF7721"/>
    <w:rsid w:val="00FF7E98"/>
    <w:rsid w:val="00FF7F30"/>
    <w:rsid w:val="011A11A4"/>
    <w:rsid w:val="01405559"/>
    <w:rsid w:val="014B5B44"/>
    <w:rsid w:val="0182219D"/>
    <w:rsid w:val="018C5F7F"/>
    <w:rsid w:val="01BE4069"/>
    <w:rsid w:val="01BE5800"/>
    <w:rsid w:val="01E46F65"/>
    <w:rsid w:val="02E536DD"/>
    <w:rsid w:val="035E737B"/>
    <w:rsid w:val="037D3DF5"/>
    <w:rsid w:val="03F06C42"/>
    <w:rsid w:val="041B3357"/>
    <w:rsid w:val="04C34346"/>
    <w:rsid w:val="04E30437"/>
    <w:rsid w:val="05465FD3"/>
    <w:rsid w:val="05562F5A"/>
    <w:rsid w:val="05F41FAA"/>
    <w:rsid w:val="05F45E3B"/>
    <w:rsid w:val="063B78DC"/>
    <w:rsid w:val="06971FEE"/>
    <w:rsid w:val="06C123D8"/>
    <w:rsid w:val="07241031"/>
    <w:rsid w:val="076E0F6D"/>
    <w:rsid w:val="07E84F31"/>
    <w:rsid w:val="0839529D"/>
    <w:rsid w:val="08CA13FE"/>
    <w:rsid w:val="09974C33"/>
    <w:rsid w:val="09B82947"/>
    <w:rsid w:val="0A8C5FC6"/>
    <w:rsid w:val="0BF958C7"/>
    <w:rsid w:val="0C2561A2"/>
    <w:rsid w:val="0C3F3332"/>
    <w:rsid w:val="0C5A09A9"/>
    <w:rsid w:val="0CDB719E"/>
    <w:rsid w:val="0D56019D"/>
    <w:rsid w:val="0E0812B7"/>
    <w:rsid w:val="0E407559"/>
    <w:rsid w:val="0EAB6A73"/>
    <w:rsid w:val="0F4D0707"/>
    <w:rsid w:val="0FBA2A45"/>
    <w:rsid w:val="0FC41654"/>
    <w:rsid w:val="0FDE7285"/>
    <w:rsid w:val="1042721E"/>
    <w:rsid w:val="104C05B8"/>
    <w:rsid w:val="1147532F"/>
    <w:rsid w:val="118C2ED5"/>
    <w:rsid w:val="11B83D31"/>
    <w:rsid w:val="126F5DEF"/>
    <w:rsid w:val="12795B29"/>
    <w:rsid w:val="12D1416F"/>
    <w:rsid w:val="12F62B63"/>
    <w:rsid w:val="13696837"/>
    <w:rsid w:val="13B31AEC"/>
    <w:rsid w:val="13FE3FBA"/>
    <w:rsid w:val="140E1568"/>
    <w:rsid w:val="14404369"/>
    <w:rsid w:val="175D674F"/>
    <w:rsid w:val="179055A0"/>
    <w:rsid w:val="17B53534"/>
    <w:rsid w:val="17CD2550"/>
    <w:rsid w:val="18114189"/>
    <w:rsid w:val="188E6C34"/>
    <w:rsid w:val="18F06F2D"/>
    <w:rsid w:val="19117739"/>
    <w:rsid w:val="19403824"/>
    <w:rsid w:val="19AD7F51"/>
    <w:rsid w:val="1A9E3747"/>
    <w:rsid w:val="1BA50D14"/>
    <w:rsid w:val="1BA677E7"/>
    <w:rsid w:val="1C157D87"/>
    <w:rsid w:val="1C625D30"/>
    <w:rsid w:val="1C7671E3"/>
    <w:rsid w:val="1C777601"/>
    <w:rsid w:val="1C7B6556"/>
    <w:rsid w:val="1C8A493E"/>
    <w:rsid w:val="1CCB6998"/>
    <w:rsid w:val="1CD6623F"/>
    <w:rsid w:val="1CF90898"/>
    <w:rsid w:val="1CFA0FE7"/>
    <w:rsid w:val="1D4824C2"/>
    <w:rsid w:val="1D8C69C4"/>
    <w:rsid w:val="1DA56C7E"/>
    <w:rsid w:val="1E1C7C6C"/>
    <w:rsid w:val="1E786F00"/>
    <w:rsid w:val="1EDC70B8"/>
    <w:rsid w:val="1EE26B01"/>
    <w:rsid w:val="1F147CCD"/>
    <w:rsid w:val="1F1F65F5"/>
    <w:rsid w:val="1F227F17"/>
    <w:rsid w:val="1F343C02"/>
    <w:rsid w:val="1FAC7E53"/>
    <w:rsid w:val="200008B3"/>
    <w:rsid w:val="20517FE3"/>
    <w:rsid w:val="20597707"/>
    <w:rsid w:val="20A91FE4"/>
    <w:rsid w:val="20CE2C18"/>
    <w:rsid w:val="211D45FF"/>
    <w:rsid w:val="21577705"/>
    <w:rsid w:val="217C1DAF"/>
    <w:rsid w:val="218220DE"/>
    <w:rsid w:val="21FE096D"/>
    <w:rsid w:val="222C76C6"/>
    <w:rsid w:val="22466CF3"/>
    <w:rsid w:val="2253067F"/>
    <w:rsid w:val="22A344E7"/>
    <w:rsid w:val="22C9107A"/>
    <w:rsid w:val="22DE3197"/>
    <w:rsid w:val="230E0741"/>
    <w:rsid w:val="23B459CF"/>
    <w:rsid w:val="23F63E16"/>
    <w:rsid w:val="243A32C2"/>
    <w:rsid w:val="243F71F1"/>
    <w:rsid w:val="25093A3B"/>
    <w:rsid w:val="25236D0D"/>
    <w:rsid w:val="252F645D"/>
    <w:rsid w:val="255E2F6B"/>
    <w:rsid w:val="258858A9"/>
    <w:rsid w:val="25E21C3F"/>
    <w:rsid w:val="25F64D5E"/>
    <w:rsid w:val="26757E2C"/>
    <w:rsid w:val="26790701"/>
    <w:rsid w:val="273508EE"/>
    <w:rsid w:val="27483692"/>
    <w:rsid w:val="276F6E45"/>
    <w:rsid w:val="278066D7"/>
    <w:rsid w:val="27827B0F"/>
    <w:rsid w:val="27886287"/>
    <w:rsid w:val="27F53526"/>
    <w:rsid w:val="27FA5E76"/>
    <w:rsid w:val="28510862"/>
    <w:rsid w:val="28690FE5"/>
    <w:rsid w:val="288E2BD2"/>
    <w:rsid w:val="28DC50AB"/>
    <w:rsid w:val="28E55271"/>
    <w:rsid w:val="28E7739E"/>
    <w:rsid w:val="2923374B"/>
    <w:rsid w:val="29BD796F"/>
    <w:rsid w:val="2AAC3644"/>
    <w:rsid w:val="2B265FC4"/>
    <w:rsid w:val="2B8946FF"/>
    <w:rsid w:val="2C0A4741"/>
    <w:rsid w:val="2CF86E08"/>
    <w:rsid w:val="2D9B15EF"/>
    <w:rsid w:val="2E304308"/>
    <w:rsid w:val="2E336D9D"/>
    <w:rsid w:val="2EB26D79"/>
    <w:rsid w:val="2F16026E"/>
    <w:rsid w:val="2F7145F4"/>
    <w:rsid w:val="301C1F55"/>
    <w:rsid w:val="30580298"/>
    <w:rsid w:val="30646F90"/>
    <w:rsid w:val="30CB0402"/>
    <w:rsid w:val="310955F2"/>
    <w:rsid w:val="31197E88"/>
    <w:rsid w:val="31B630BB"/>
    <w:rsid w:val="321E42BD"/>
    <w:rsid w:val="324D2681"/>
    <w:rsid w:val="33A81F62"/>
    <w:rsid w:val="34457450"/>
    <w:rsid w:val="34BC749F"/>
    <w:rsid w:val="350E185E"/>
    <w:rsid w:val="35373F98"/>
    <w:rsid w:val="35871ED9"/>
    <w:rsid w:val="36246068"/>
    <w:rsid w:val="363B7932"/>
    <w:rsid w:val="36D15C2A"/>
    <w:rsid w:val="36FA4BBC"/>
    <w:rsid w:val="371D61FE"/>
    <w:rsid w:val="374B5AC3"/>
    <w:rsid w:val="38187E4F"/>
    <w:rsid w:val="3820445B"/>
    <w:rsid w:val="38210467"/>
    <w:rsid w:val="38401B73"/>
    <w:rsid w:val="384B1D2A"/>
    <w:rsid w:val="38F24247"/>
    <w:rsid w:val="39780BBB"/>
    <w:rsid w:val="39D617F2"/>
    <w:rsid w:val="3A9974DB"/>
    <w:rsid w:val="3B4E6F37"/>
    <w:rsid w:val="3B731AB5"/>
    <w:rsid w:val="3B833738"/>
    <w:rsid w:val="3B874762"/>
    <w:rsid w:val="3BF37B5E"/>
    <w:rsid w:val="3C2527C5"/>
    <w:rsid w:val="3C84642E"/>
    <w:rsid w:val="3D6F75C9"/>
    <w:rsid w:val="3DE90F01"/>
    <w:rsid w:val="3E266E35"/>
    <w:rsid w:val="3F4829A1"/>
    <w:rsid w:val="3F7F04D5"/>
    <w:rsid w:val="40A005F0"/>
    <w:rsid w:val="417D76A0"/>
    <w:rsid w:val="417E1386"/>
    <w:rsid w:val="422B6BF4"/>
    <w:rsid w:val="42347713"/>
    <w:rsid w:val="435636B8"/>
    <w:rsid w:val="43B00A8F"/>
    <w:rsid w:val="452545FE"/>
    <w:rsid w:val="454B391C"/>
    <w:rsid w:val="45511B47"/>
    <w:rsid w:val="459557D9"/>
    <w:rsid w:val="45A15DDB"/>
    <w:rsid w:val="45A3513D"/>
    <w:rsid w:val="45B22926"/>
    <w:rsid w:val="4681712C"/>
    <w:rsid w:val="468B6718"/>
    <w:rsid w:val="473B23EB"/>
    <w:rsid w:val="476250CF"/>
    <w:rsid w:val="47B32EAB"/>
    <w:rsid w:val="47C40E8C"/>
    <w:rsid w:val="48B1218F"/>
    <w:rsid w:val="48B14AB0"/>
    <w:rsid w:val="48BB286C"/>
    <w:rsid w:val="48D6123C"/>
    <w:rsid w:val="49150F51"/>
    <w:rsid w:val="49480BD4"/>
    <w:rsid w:val="496E11C3"/>
    <w:rsid w:val="499F04DF"/>
    <w:rsid w:val="49CB3BFF"/>
    <w:rsid w:val="4AA4619B"/>
    <w:rsid w:val="4AAE7A16"/>
    <w:rsid w:val="4AC62161"/>
    <w:rsid w:val="4B284D77"/>
    <w:rsid w:val="4BEC1507"/>
    <w:rsid w:val="4CD363C9"/>
    <w:rsid w:val="4D7F6702"/>
    <w:rsid w:val="4DD27ACF"/>
    <w:rsid w:val="4E1A7ECD"/>
    <w:rsid w:val="4ED01648"/>
    <w:rsid w:val="4F123950"/>
    <w:rsid w:val="4F134C73"/>
    <w:rsid w:val="507519D9"/>
    <w:rsid w:val="50EC442B"/>
    <w:rsid w:val="517C422B"/>
    <w:rsid w:val="51824CF6"/>
    <w:rsid w:val="52127D7D"/>
    <w:rsid w:val="52412A63"/>
    <w:rsid w:val="525672F6"/>
    <w:rsid w:val="534179D1"/>
    <w:rsid w:val="53763D4D"/>
    <w:rsid w:val="54135280"/>
    <w:rsid w:val="5526139C"/>
    <w:rsid w:val="552B2D26"/>
    <w:rsid w:val="554E1470"/>
    <w:rsid w:val="55986D51"/>
    <w:rsid w:val="55D42624"/>
    <w:rsid w:val="56133CA0"/>
    <w:rsid w:val="565F1D6B"/>
    <w:rsid w:val="56DD4ABD"/>
    <w:rsid w:val="5703231E"/>
    <w:rsid w:val="57116442"/>
    <w:rsid w:val="578D3493"/>
    <w:rsid w:val="586A7A45"/>
    <w:rsid w:val="58914C8B"/>
    <w:rsid w:val="58E3423E"/>
    <w:rsid w:val="58F23ED5"/>
    <w:rsid w:val="5956205C"/>
    <w:rsid w:val="599E6CB8"/>
    <w:rsid w:val="59E031E2"/>
    <w:rsid w:val="5A5B5FB9"/>
    <w:rsid w:val="5A600C99"/>
    <w:rsid w:val="5AA974E8"/>
    <w:rsid w:val="5AD0387F"/>
    <w:rsid w:val="5B8340E7"/>
    <w:rsid w:val="5B8D0599"/>
    <w:rsid w:val="5B937814"/>
    <w:rsid w:val="5BA627EA"/>
    <w:rsid w:val="5BAA125C"/>
    <w:rsid w:val="5C254E10"/>
    <w:rsid w:val="5C6E79F1"/>
    <w:rsid w:val="5C8657B1"/>
    <w:rsid w:val="5CA73484"/>
    <w:rsid w:val="5CB66DDB"/>
    <w:rsid w:val="5CE5499C"/>
    <w:rsid w:val="5D77243C"/>
    <w:rsid w:val="5DD60CDA"/>
    <w:rsid w:val="5E2F13E4"/>
    <w:rsid w:val="5EC546B7"/>
    <w:rsid w:val="5EE01513"/>
    <w:rsid w:val="5F515511"/>
    <w:rsid w:val="5FA9036D"/>
    <w:rsid w:val="5FB20CF3"/>
    <w:rsid w:val="5FE20A6A"/>
    <w:rsid w:val="5FE80DF1"/>
    <w:rsid w:val="5FED079B"/>
    <w:rsid w:val="60394F33"/>
    <w:rsid w:val="607A028C"/>
    <w:rsid w:val="61904268"/>
    <w:rsid w:val="61922827"/>
    <w:rsid w:val="61985AAE"/>
    <w:rsid w:val="619B21A0"/>
    <w:rsid w:val="61A24375"/>
    <w:rsid w:val="61C95215"/>
    <w:rsid w:val="61CF4043"/>
    <w:rsid w:val="620863D2"/>
    <w:rsid w:val="62197E84"/>
    <w:rsid w:val="626058BD"/>
    <w:rsid w:val="62D70238"/>
    <w:rsid w:val="630014F2"/>
    <w:rsid w:val="634E5810"/>
    <w:rsid w:val="636310DD"/>
    <w:rsid w:val="63A81226"/>
    <w:rsid w:val="650A079C"/>
    <w:rsid w:val="65E5355A"/>
    <w:rsid w:val="673C65F0"/>
    <w:rsid w:val="674A3D4F"/>
    <w:rsid w:val="679006E0"/>
    <w:rsid w:val="6864772D"/>
    <w:rsid w:val="68BC6A3B"/>
    <w:rsid w:val="6A121AD7"/>
    <w:rsid w:val="6A3C248C"/>
    <w:rsid w:val="6ABA024E"/>
    <w:rsid w:val="6AD23B35"/>
    <w:rsid w:val="6C3226C6"/>
    <w:rsid w:val="6C3C309A"/>
    <w:rsid w:val="6C545FF5"/>
    <w:rsid w:val="6C591BE2"/>
    <w:rsid w:val="6C97063E"/>
    <w:rsid w:val="6D256C7F"/>
    <w:rsid w:val="6D554232"/>
    <w:rsid w:val="6DB01BEA"/>
    <w:rsid w:val="6E0A4A26"/>
    <w:rsid w:val="6E5A4385"/>
    <w:rsid w:val="6E5E1B6C"/>
    <w:rsid w:val="6EEF71D1"/>
    <w:rsid w:val="6EF04F82"/>
    <w:rsid w:val="6F021A16"/>
    <w:rsid w:val="6F1D40CE"/>
    <w:rsid w:val="7051517A"/>
    <w:rsid w:val="70A647A4"/>
    <w:rsid w:val="70D85BD1"/>
    <w:rsid w:val="715B338A"/>
    <w:rsid w:val="71695F18"/>
    <w:rsid w:val="716A7ADC"/>
    <w:rsid w:val="71DE2E53"/>
    <w:rsid w:val="721F39FF"/>
    <w:rsid w:val="729E121E"/>
    <w:rsid w:val="72E23A7A"/>
    <w:rsid w:val="72F6179B"/>
    <w:rsid w:val="735B2E64"/>
    <w:rsid w:val="738003CA"/>
    <w:rsid w:val="73C56EED"/>
    <w:rsid w:val="74180D50"/>
    <w:rsid w:val="741E3A74"/>
    <w:rsid w:val="74CC56DC"/>
    <w:rsid w:val="758D4AB4"/>
    <w:rsid w:val="75BC02E7"/>
    <w:rsid w:val="75D12961"/>
    <w:rsid w:val="765941C5"/>
    <w:rsid w:val="773B6CD4"/>
    <w:rsid w:val="77E30949"/>
    <w:rsid w:val="77F16A53"/>
    <w:rsid w:val="783525A0"/>
    <w:rsid w:val="786F12BD"/>
    <w:rsid w:val="786F1AA9"/>
    <w:rsid w:val="7872551D"/>
    <w:rsid w:val="78B86EE8"/>
    <w:rsid w:val="7920071D"/>
    <w:rsid w:val="79B56BC5"/>
    <w:rsid w:val="79C52BC7"/>
    <w:rsid w:val="79C747F6"/>
    <w:rsid w:val="7A2861E8"/>
    <w:rsid w:val="7A36659D"/>
    <w:rsid w:val="7A6027C1"/>
    <w:rsid w:val="7A854A12"/>
    <w:rsid w:val="7B237820"/>
    <w:rsid w:val="7B974622"/>
    <w:rsid w:val="7C3C1587"/>
    <w:rsid w:val="7C6B3F7A"/>
    <w:rsid w:val="7CA52AE4"/>
    <w:rsid w:val="7CB10A08"/>
    <w:rsid w:val="7D4E72F0"/>
    <w:rsid w:val="7D860B69"/>
    <w:rsid w:val="7DD15417"/>
    <w:rsid w:val="7DED1691"/>
    <w:rsid w:val="7E662EAD"/>
    <w:rsid w:val="7E9219F9"/>
    <w:rsid w:val="7EC14C30"/>
    <w:rsid w:val="7EF44607"/>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1"/>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12"/>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59"/>
    <w:qFormat/>
    <w:uiPriority w:val="0"/>
    <w:pPr>
      <w:keepNext/>
      <w:keepLines/>
      <w:spacing w:before="260" w:after="260" w:line="413" w:lineRule="auto"/>
      <w:outlineLvl w:val="2"/>
    </w:pPr>
    <w:rPr>
      <w:b/>
      <w:bCs/>
      <w:sz w:val="32"/>
      <w:szCs w:val="32"/>
    </w:rPr>
  </w:style>
  <w:style w:type="paragraph" w:styleId="5">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111"/>
    <w:qFormat/>
    <w:uiPriority w:val="0"/>
    <w:pPr>
      <w:keepNext/>
      <w:keepLines/>
      <w:spacing w:before="280" w:after="290" w:line="372" w:lineRule="auto"/>
      <w:outlineLvl w:val="4"/>
    </w:pPr>
    <w:rPr>
      <w:b/>
      <w:sz w:val="28"/>
    </w:rPr>
  </w:style>
  <w:style w:type="paragraph" w:styleId="8">
    <w:name w:val="heading 6"/>
    <w:basedOn w:val="1"/>
    <w:next w:val="7"/>
    <w:link w:val="11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71"/>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134"/>
    <w:qFormat/>
    <w:uiPriority w:val="0"/>
    <w:pPr>
      <w:keepNext/>
      <w:keepLines/>
      <w:spacing w:before="240" w:after="64" w:line="317" w:lineRule="auto"/>
      <w:outlineLvl w:val="8"/>
    </w:pPr>
    <w:rPr>
      <w:rFonts w:ascii="Arial" w:hAnsi="Arial" w:eastAsia="黑体"/>
    </w:rPr>
  </w:style>
  <w:style w:type="character" w:default="1" w:styleId="51">
    <w:name w:val="Default Paragraph Font"/>
    <w:semiHidden/>
    <w:unhideWhenUsed/>
    <w:qFormat/>
    <w:uiPriority w:val="1"/>
  </w:style>
  <w:style w:type="table" w:default="1" w:styleId="57">
    <w:name w:val="Normal Table"/>
    <w:semiHidden/>
    <w:unhideWhenUsed/>
    <w:qFormat/>
    <w:uiPriority w:val="99"/>
    <w:tblPr>
      <w:tblLayout w:type="fixed"/>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annotation subject"/>
    <w:basedOn w:val="14"/>
    <w:next w:val="14"/>
    <w:link w:val="82"/>
    <w:qFormat/>
    <w:uiPriority w:val="0"/>
    <w:rPr>
      <w:b/>
      <w:bCs/>
    </w:rPr>
  </w:style>
  <w:style w:type="paragraph" w:styleId="14">
    <w:name w:val="annotation text"/>
    <w:basedOn w:val="1"/>
    <w:link w:val="128"/>
    <w:qFormat/>
    <w:uiPriority w:val="0"/>
    <w:pPr>
      <w:jc w:val="left"/>
    </w:pPr>
  </w:style>
  <w:style w:type="paragraph" w:styleId="15">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6">
    <w:name w:val="Body Text First Indent"/>
    <w:basedOn w:val="17"/>
    <w:link w:val="126"/>
    <w:qFormat/>
    <w:uiPriority w:val="0"/>
    <w:pPr>
      <w:spacing w:after="120" w:line="240" w:lineRule="auto"/>
      <w:ind w:firstLine="420" w:firstLineChars="100"/>
    </w:pPr>
    <w:rPr>
      <w:sz w:val="21"/>
    </w:rPr>
  </w:style>
  <w:style w:type="paragraph" w:styleId="17">
    <w:name w:val="Body Text"/>
    <w:basedOn w:val="1"/>
    <w:link w:val="130"/>
    <w:qFormat/>
    <w:uiPriority w:val="99"/>
    <w:pPr>
      <w:spacing w:line="380" w:lineRule="exact"/>
    </w:pPr>
    <w:rPr>
      <w:sz w:val="24"/>
    </w:rPr>
  </w:style>
  <w:style w:type="paragraph" w:styleId="18">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Document Map"/>
    <w:basedOn w:val="1"/>
    <w:link w:val="125"/>
    <w:qFormat/>
    <w:uiPriority w:val="0"/>
    <w:pPr>
      <w:shd w:val="clear" w:color="auto" w:fill="000080"/>
      <w:adjustRightInd w:val="0"/>
      <w:spacing w:line="312" w:lineRule="atLeast"/>
      <w:textAlignment w:val="baseline"/>
    </w:pPr>
    <w:rPr>
      <w:kern w:val="0"/>
      <w:szCs w:val="20"/>
    </w:rPr>
  </w:style>
  <w:style w:type="paragraph" w:styleId="21">
    <w:name w:val="Body Text 3"/>
    <w:basedOn w:val="1"/>
    <w:link w:val="60"/>
    <w:qFormat/>
    <w:uiPriority w:val="0"/>
    <w:pPr>
      <w:spacing w:line="500" w:lineRule="exact"/>
    </w:pPr>
    <w:rPr>
      <w:b/>
      <w:bCs/>
      <w:sz w:val="24"/>
    </w:rPr>
  </w:style>
  <w:style w:type="paragraph" w:styleId="22">
    <w:name w:val="Body Text Indent"/>
    <w:basedOn w:val="1"/>
    <w:link w:val="61"/>
    <w:qFormat/>
    <w:uiPriority w:val="99"/>
    <w:pPr>
      <w:ind w:firstLine="830" w:firstLineChars="352"/>
    </w:pPr>
    <w:rPr>
      <w:rFonts w:ascii="仿宋_GB2312" w:eastAsia="仿宋_GB2312"/>
      <w:sz w:val="32"/>
      <w:szCs w:val="20"/>
    </w:rPr>
  </w:style>
  <w:style w:type="paragraph" w:styleId="23">
    <w:name w:val="List Number 3"/>
    <w:basedOn w:val="1"/>
    <w:qFormat/>
    <w:uiPriority w:val="0"/>
    <w:pPr>
      <w:tabs>
        <w:tab w:val="left" w:pos="1200"/>
      </w:tabs>
      <w:ind w:left="1200" w:leftChars="400" w:hanging="360" w:hangingChars="20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39"/>
    <w:pPr>
      <w:ind w:left="840" w:leftChars="400"/>
    </w:pPr>
  </w:style>
  <w:style w:type="paragraph" w:styleId="28">
    <w:name w:val="Plain Text"/>
    <w:basedOn w:val="1"/>
    <w:link w:val="129"/>
    <w:qFormat/>
    <w:uiPriority w:val="99"/>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65"/>
    <w:qFormat/>
    <w:uiPriority w:val="0"/>
    <w:pPr>
      <w:ind w:left="100" w:leftChars="2500"/>
    </w:pPr>
    <w:rPr>
      <w:rFonts w:ascii="宋体" w:hAnsi="Courier New"/>
      <w:szCs w:val="21"/>
    </w:rPr>
  </w:style>
  <w:style w:type="paragraph" w:styleId="31">
    <w:name w:val="Body Text Indent 2"/>
    <w:basedOn w:val="1"/>
    <w:link w:val="133"/>
    <w:qFormat/>
    <w:uiPriority w:val="0"/>
    <w:pPr>
      <w:ind w:firstLine="630"/>
    </w:pPr>
    <w:rPr>
      <w:sz w:val="32"/>
      <w:szCs w:val="20"/>
    </w:rPr>
  </w:style>
  <w:style w:type="paragraph" w:styleId="32">
    <w:name w:val="Balloon Text"/>
    <w:basedOn w:val="1"/>
    <w:link w:val="92"/>
    <w:qFormat/>
    <w:uiPriority w:val="0"/>
    <w:rPr>
      <w:sz w:val="18"/>
      <w:szCs w:val="18"/>
    </w:rPr>
  </w:style>
  <w:style w:type="paragraph" w:styleId="33">
    <w:name w:val="footer"/>
    <w:basedOn w:val="1"/>
    <w:link w:val="93"/>
    <w:qFormat/>
    <w:uiPriority w:val="0"/>
    <w:pPr>
      <w:tabs>
        <w:tab w:val="center" w:pos="4153"/>
        <w:tab w:val="right" w:pos="8306"/>
      </w:tabs>
      <w:snapToGrid w:val="0"/>
      <w:jc w:val="left"/>
    </w:pPr>
    <w:rPr>
      <w:sz w:val="18"/>
      <w:szCs w:val="18"/>
    </w:rPr>
  </w:style>
  <w:style w:type="paragraph" w:styleId="34">
    <w:name w:val="Body Text First Indent 2"/>
    <w:basedOn w:val="22"/>
    <w:link w:val="77"/>
    <w:qFormat/>
    <w:uiPriority w:val="0"/>
    <w:pPr>
      <w:spacing w:after="120"/>
      <w:ind w:left="420" w:leftChars="200" w:firstLine="420" w:firstLineChars="200"/>
    </w:pPr>
    <w:rPr>
      <w:rFonts w:ascii="Times New Roman" w:eastAsia="宋体"/>
      <w:sz w:val="21"/>
      <w:szCs w:val="24"/>
    </w:rPr>
  </w:style>
  <w:style w:type="paragraph" w:styleId="35">
    <w:name w:val="header"/>
    <w:basedOn w:val="1"/>
    <w:link w:val="136"/>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List"/>
    <w:basedOn w:val="1"/>
    <w:qFormat/>
    <w:uiPriority w:val="0"/>
    <w:pPr>
      <w:ind w:left="200" w:hanging="200" w:hangingChars="200"/>
    </w:pPr>
    <w:rPr>
      <w:sz w:val="28"/>
    </w:rPr>
  </w:style>
  <w:style w:type="paragraph" w:styleId="39">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0">
    <w:name w:val="List 5"/>
    <w:basedOn w:val="1"/>
    <w:qFormat/>
    <w:uiPriority w:val="0"/>
    <w:pPr>
      <w:ind w:left="2100" w:hanging="420"/>
    </w:pPr>
    <w:rPr>
      <w:szCs w:val="20"/>
    </w:rPr>
  </w:style>
  <w:style w:type="paragraph" w:styleId="41">
    <w:name w:val="Body Text Indent 3"/>
    <w:basedOn w:val="1"/>
    <w:link w:val="107"/>
    <w:qFormat/>
    <w:uiPriority w:val="0"/>
    <w:pPr>
      <w:spacing w:after="120"/>
      <w:ind w:left="420" w:leftChars="200"/>
    </w:pPr>
    <w:rPr>
      <w:sz w:val="16"/>
      <w:szCs w:val="16"/>
    </w:rPr>
  </w:style>
  <w:style w:type="paragraph" w:styleId="42">
    <w:name w:val="toc 2"/>
    <w:basedOn w:val="1"/>
    <w:next w:val="1"/>
    <w:qFormat/>
    <w:uiPriority w:val="39"/>
    <w:pPr>
      <w:ind w:left="420" w:leftChars="200"/>
    </w:pPr>
  </w:style>
  <w:style w:type="paragraph" w:styleId="43">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4">
    <w:name w:val="Body Text 2"/>
    <w:basedOn w:val="1"/>
    <w:link w:val="119"/>
    <w:qFormat/>
    <w:uiPriority w:val="0"/>
    <w:pPr>
      <w:spacing w:after="120" w:line="480" w:lineRule="auto"/>
    </w:pPr>
  </w:style>
  <w:style w:type="paragraph" w:styleId="45">
    <w:name w:val="List 4"/>
    <w:basedOn w:val="1"/>
    <w:qFormat/>
    <w:uiPriority w:val="0"/>
    <w:pPr>
      <w:ind w:left="100" w:leftChars="600" w:hanging="200" w:hangingChars="200"/>
    </w:pPr>
  </w:style>
  <w:style w:type="paragraph" w:styleId="46">
    <w:name w:val="List Continue 2"/>
    <w:basedOn w:val="1"/>
    <w:qFormat/>
    <w:uiPriority w:val="0"/>
    <w:pPr>
      <w:spacing w:after="120"/>
      <w:ind w:left="840" w:leftChars="400"/>
    </w:pPr>
  </w:style>
  <w:style w:type="paragraph" w:styleId="47">
    <w:name w:val="HTML Preformatted"/>
    <w:basedOn w:val="1"/>
    <w:link w:val="1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8">
    <w:name w:val="Normal (Web)"/>
    <w:basedOn w:val="1"/>
    <w:qFormat/>
    <w:uiPriority w:val="99"/>
    <w:pPr>
      <w:widowControl/>
      <w:spacing w:before="100" w:beforeAutospacing="1" w:after="100" w:afterAutospacing="1"/>
      <w:jc w:val="left"/>
    </w:pPr>
    <w:rPr>
      <w:rFonts w:ascii="宋体" w:hAnsi="宋体"/>
      <w:kern w:val="0"/>
      <w:sz w:val="24"/>
    </w:rPr>
  </w:style>
  <w:style w:type="paragraph" w:styleId="49">
    <w:name w:val="index 1"/>
    <w:basedOn w:val="1"/>
    <w:next w:val="1"/>
    <w:qFormat/>
    <w:uiPriority w:val="0"/>
    <w:pPr>
      <w:spacing w:line="400" w:lineRule="exact"/>
      <w:ind w:firstLine="420" w:firstLineChars="200"/>
    </w:pPr>
    <w:rPr>
      <w:rFonts w:ascii="宋体" w:hAnsi="Courier New"/>
      <w:b/>
      <w:szCs w:val="20"/>
    </w:rPr>
  </w:style>
  <w:style w:type="paragraph" w:styleId="50">
    <w:name w:val="Title"/>
    <w:basedOn w:val="1"/>
    <w:link w:val="100"/>
    <w:qFormat/>
    <w:uiPriority w:val="0"/>
    <w:pPr>
      <w:jc w:val="center"/>
    </w:pPr>
    <w:rPr>
      <w:sz w:val="30"/>
    </w:rPr>
  </w:style>
  <w:style w:type="character" w:styleId="52">
    <w:name w:val="Strong"/>
    <w:qFormat/>
    <w:uiPriority w:val="22"/>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9">
    <w:name w:val="标题 3 字符1"/>
    <w:link w:val="4"/>
    <w:uiPriority w:val="0"/>
    <w:rPr>
      <w:b/>
      <w:bCs/>
      <w:kern w:val="2"/>
      <w:sz w:val="32"/>
      <w:szCs w:val="32"/>
    </w:rPr>
  </w:style>
  <w:style w:type="character" w:customStyle="1" w:styleId="60">
    <w:name w:val="正文文本 3 字符1"/>
    <w:link w:val="21"/>
    <w:qFormat/>
    <w:uiPriority w:val="0"/>
    <w:rPr>
      <w:b/>
      <w:bCs/>
      <w:kern w:val="2"/>
      <w:sz w:val="24"/>
      <w:szCs w:val="24"/>
    </w:rPr>
  </w:style>
  <w:style w:type="character" w:customStyle="1" w:styleId="61">
    <w:name w:val="正文文本缩进 字符1"/>
    <w:link w:val="22"/>
    <w:qFormat/>
    <w:uiPriority w:val="99"/>
    <w:rPr>
      <w:rFonts w:ascii="仿宋_GB2312" w:eastAsia="仿宋_GB2312"/>
      <w:kern w:val="2"/>
      <w:sz w:val="32"/>
    </w:rPr>
  </w:style>
  <w:style w:type="character" w:customStyle="1" w:styleId="62">
    <w:name w:val="标题 4 字符"/>
    <w:semiHidden/>
    <w:qFormat/>
    <w:uiPriority w:val="9"/>
    <w:rPr>
      <w:rFonts w:ascii="等线 Light" w:hAnsi="等线 Light" w:eastAsia="等线 Light" w:cs="Times New Roman"/>
      <w:b/>
      <w:bCs/>
      <w:kern w:val="2"/>
      <w:sz w:val="28"/>
      <w:szCs w:val="28"/>
    </w:rPr>
  </w:style>
  <w:style w:type="character" w:customStyle="1" w:styleId="63">
    <w:name w:val="HTML 预设格式 字符"/>
    <w:semiHidden/>
    <w:qFormat/>
    <w:uiPriority w:val="99"/>
    <w:rPr>
      <w:rFonts w:ascii="Courier New" w:hAnsi="Courier New" w:cs="Courier New"/>
      <w:kern w:val="2"/>
    </w:rPr>
  </w:style>
  <w:style w:type="character" w:customStyle="1" w:styleId="64">
    <w:name w:val="graytext1"/>
    <w:qFormat/>
    <w:uiPriority w:val="0"/>
    <w:rPr>
      <w:color w:val="666666"/>
    </w:rPr>
  </w:style>
  <w:style w:type="character" w:customStyle="1" w:styleId="65">
    <w:name w:val="日期 字符1"/>
    <w:link w:val="30"/>
    <w:qFormat/>
    <w:uiPriority w:val="0"/>
    <w:rPr>
      <w:rFonts w:ascii="宋体" w:hAnsi="Courier New" w:cs="Courier New"/>
      <w:kern w:val="2"/>
      <w:sz w:val="21"/>
      <w:szCs w:val="21"/>
    </w:rPr>
  </w:style>
  <w:style w:type="character" w:customStyle="1" w:styleId="66">
    <w:name w:val="标题 8 字符1"/>
    <w:link w:val="10"/>
    <w:qFormat/>
    <w:uiPriority w:val="0"/>
    <w:rPr>
      <w:rFonts w:ascii="Arial" w:hAnsi="Arial" w:eastAsia="黑体"/>
      <w:kern w:val="2"/>
      <w:sz w:val="24"/>
      <w:szCs w:val="24"/>
    </w:rPr>
  </w:style>
  <w:style w:type="character" w:customStyle="1" w:styleId="67">
    <w:name w:val="标题 6 字符"/>
    <w:semiHidden/>
    <w:qFormat/>
    <w:uiPriority w:val="9"/>
    <w:rPr>
      <w:rFonts w:ascii="等线 Light" w:hAnsi="等线 Light" w:eastAsia="等线 Light" w:cs="Times New Roman"/>
      <w:b/>
      <w:bCs/>
      <w:kern w:val="2"/>
      <w:sz w:val="24"/>
      <w:szCs w:val="24"/>
    </w:rPr>
  </w:style>
  <w:style w:type="character" w:customStyle="1" w:styleId="68">
    <w:name w:val="white"/>
    <w:basedOn w:val="51"/>
    <w:qFormat/>
    <w:uiPriority w:val="0"/>
  </w:style>
  <w:style w:type="character" w:customStyle="1" w:styleId="69">
    <w:name w:val="text11"/>
    <w:qFormat/>
    <w:uiPriority w:val="0"/>
    <w:rPr>
      <w:rFonts w:hint="default" w:ascii="Verdana" w:hAnsi="Verdana"/>
      <w:color w:val="4E4E4E"/>
      <w:sz w:val="18"/>
      <w:szCs w:val="18"/>
    </w:rPr>
  </w:style>
  <w:style w:type="character" w:customStyle="1" w:styleId="70">
    <w:name w:val="gray12"/>
    <w:basedOn w:val="51"/>
    <w:qFormat/>
    <w:uiPriority w:val="0"/>
  </w:style>
  <w:style w:type="character" w:customStyle="1" w:styleId="71">
    <w:name w:val="标题 7 字符1"/>
    <w:link w:val="9"/>
    <w:qFormat/>
    <w:uiPriority w:val="0"/>
    <w:rPr>
      <w:b/>
      <w:kern w:val="2"/>
      <w:sz w:val="24"/>
      <w:szCs w:val="24"/>
    </w:rPr>
  </w:style>
  <w:style w:type="character" w:customStyle="1" w:styleId="72">
    <w:name w:val="font01"/>
    <w:qFormat/>
    <w:uiPriority w:val="0"/>
    <w:rPr>
      <w:rFonts w:hint="eastAsia" w:ascii="宋体" w:hAnsi="宋体" w:eastAsia="宋体"/>
      <w:color w:val="000000"/>
      <w:sz w:val="22"/>
      <w:szCs w:val="22"/>
      <w:u w:val="none"/>
    </w:rPr>
  </w:style>
  <w:style w:type="character" w:customStyle="1" w:styleId="73">
    <w:name w:val="mark8"/>
    <w:qFormat/>
    <w:uiPriority w:val="0"/>
    <w:rPr>
      <w:b/>
      <w:bCs/>
      <w:sz w:val="21"/>
      <w:szCs w:val="21"/>
    </w:rPr>
  </w:style>
  <w:style w:type="character" w:customStyle="1" w:styleId="74">
    <w:name w:val="纯文本 Char1"/>
    <w:qFormat/>
    <w:uiPriority w:val="0"/>
    <w:rPr>
      <w:rFonts w:ascii="宋体" w:hAnsi="Courier New" w:eastAsia="宋体" w:cs="Courier New"/>
      <w:kern w:val="2"/>
      <w:sz w:val="21"/>
      <w:szCs w:val="21"/>
      <w:lang w:val="en-US" w:eastAsia="zh-CN" w:bidi="ar-SA"/>
    </w:rPr>
  </w:style>
  <w:style w:type="character" w:customStyle="1" w:styleId="75">
    <w:name w:val="标题 4 字符1"/>
    <w:link w:val="5"/>
    <w:qFormat/>
    <w:uiPriority w:val="0"/>
    <w:rPr>
      <w:rFonts w:ascii="Arial" w:hAnsi="Arial" w:eastAsia="黑体"/>
      <w:sz w:val="28"/>
    </w:rPr>
  </w:style>
  <w:style w:type="character" w:customStyle="1" w:styleId="76">
    <w:name w:val="short_text1"/>
    <w:qFormat/>
    <w:uiPriority w:val="0"/>
    <w:rPr>
      <w:sz w:val="26"/>
    </w:rPr>
  </w:style>
  <w:style w:type="character" w:customStyle="1" w:styleId="77">
    <w:name w:val="正文文本首行缩进 2 字符1"/>
    <w:link w:val="34"/>
    <w:qFormat/>
    <w:uiPriority w:val="0"/>
    <w:rPr>
      <w:kern w:val="2"/>
      <w:sz w:val="21"/>
      <w:szCs w:val="24"/>
    </w:rPr>
  </w:style>
  <w:style w:type="character" w:customStyle="1" w:styleId="78">
    <w:name w:val="1ji Char"/>
    <w:link w:val="79"/>
    <w:qFormat/>
    <w:uiPriority w:val="0"/>
    <w:rPr>
      <w:rFonts w:ascii="宋体" w:hAnsi="宋体" w:eastAsia="宋体"/>
      <w:b/>
      <w:bCs/>
      <w:kern w:val="44"/>
      <w:sz w:val="36"/>
      <w:szCs w:val="44"/>
      <w:lang w:val="en-US" w:eastAsia="zh-CN" w:bidi="ar-SA"/>
    </w:rPr>
  </w:style>
  <w:style w:type="paragraph" w:customStyle="1" w:styleId="79">
    <w:name w:val="1ji"/>
    <w:basedOn w:val="2"/>
    <w:link w:val="78"/>
    <w:qFormat/>
    <w:uiPriority w:val="0"/>
    <w:pPr>
      <w:keepLines w:val="0"/>
      <w:widowControl/>
      <w:spacing w:before="0" w:after="0" w:line="240" w:lineRule="auto"/>
      <w:jc w:val="center"/>
    </w:pPr>
    <w:rPr>
      <w:rFonts w:ascii="宋体" w:hAnsi="宋体"/>
      <w:sz w:val="36"/>
    </w:rPr>
  </w:style>
  <w:style w:type="character" w:customStyle="1" w:styleId="80">
    <w:name w:val="标题 7 字符"/>
    <w:semiHidden/>
    <w:qFormat/>
    <w:uiPriority w:val="9"/>
    <w:rPr>
      <w:b/>
      <w:bCs/>
      <w:kern w:val="2"/>
      <w:sz w:val="24"/>
      <w:szCs w:val="24"/>
    </w:rPr>
  </w:style>
  <w:style w:type="character" w:customStyle="1" w:styleId="81">
    <w:name w:val="批注主题 字符"/>
    <w:semiHidden/>
    <w:qFormat/>
    <w:uiPriority w:val="99"/>
    <w:rPr>
      <w:b/>
      <w:bCs/>
      <w:kern w:val="2"/>
      <w:sz w:val="21"/>
      <w:szCs w:val="24"/>
    </w:rPr>
  </w:style>
  <w:style w:type="character" w:customStyle="1" w:styleId="82">
    <w:name w:val="批注主题 字符1"/>
    <w:link w:val="13"/>
    <w:qFormat/>
    <w:uiPriority w:val="0"/>
    <w:rPr>
      <w:b/>
      <w:bCs/>
      <w:kern w:val="2"/>
      <w:sz w:val="21"/>
      <w:szCs w:val="24"/>
    </w:rPr>
  </w:style>
  <w:style w:type="character" w:customStyle="1" w:styleId="83">
    <w:name w:val="正文文本首行缩进 字符"/>
    <w:semiHidden/>
    <w:qFormat/>
    <w:uiPriority w:val="99"/>
  </w:style>
  <w:style w:type="character" w:customStyle="1" w:styleId="84">
    <w:name w:val="f151"/>
    <w:qFormat/>
    <w:uiPriority w:val="0"/>
    <w:rPr>
      <w:sz w:val="23"/>
      <w:szCs w:val="23"/>
    </w:rPr>
  </w:style>
  <w:style w:type="character" w:customStyle="1" w:styleId="85">
    <w:name w:val="标题 5 字符"/>
    <w:semiHidden/>
    <w:qFormat/>
    <w:uiPriority w:val="9"/>
    <w:rPr>
      <w:b/>
      <w:bCs/>
      <w:kern w:val="2"/>
      <w:sz w:val="28"/>
      <w:szCs w:val="28"/>
    </w:rPr>
  </w:style>
  <w:style w:type="character" w:customStyle="1" w:styleId="86">
    <w:name w:val="content2"/>
    <w:basedOn w:val="51"/>
    <w:qFormat/>
    <w:uiPriority w:val="0"/>
  </w:style>
  <w:style w:type="character" w:customStyle="1" w:styleId="87">
    <w:name w:val="062"/>
    <w:qFormat/>
    <w:uiPriority w:val="0"/>
    <w:rPr>
      <w:rFonts w:ascii="宋体" w:hAnsi="宋体"/>
      <w:b/>
      <w:bCs/>
      <w:sz w:val="32"/>
    </w:rPr>
  </w:style>
  <w:style w:type="character" w:customStyle="1" w:styleId="88">
    <w:name w:val="正文文本缩进 字符"/>
    <w:semiHidden/>
    <w:qFormat/>
    <w:uiPriority w:val="99"/>
    <w:rPr>
      <w:kern w:val="2"/>
      <w:sz w:val="21"/>
      <w:szCs w:val="24"/>
    </w:rPr>
  </w:style>
  <w:style w:type="character" w:customStyle="1" w:styleId="89">
    <w:name w:val="small"/>
    <w:basedOn w:val="51"/>
    <w:qFormat/>
    <w:uiPriority w:val="0"/>
  </w:style>
  <w:style w:type="character" w:customStyle="1" w:styleId="90">
    <w:name w:val="页眉 字符"/>
    <w:semiHidden/>
    <w:qFormat/>
    <w:uiPriority w:val="99"/>
    <w:rPr>
      <w:kern w:val="2"/>
      <w:sz w:val="18"/>
      <w:szCs w:val="18"/>
    </w:rPr>
  </w:style>
  <w:style w:type="character" w:customStyle="1" w:styleId="91">
    <w:name w:val="标题 字符"/>
    <w:qFormat/>
    <w:uiPriority w:val="10"/>
    <w:rPr>
      <w:rFonts w:ascii="等线 Light" w:hAnsi="等线 Light" w:eastAsia="等线 Light" w:cs="Times New Roman"/>
      <w:b/>
      <w:bCs/>
      <w:kern w:val="2"/>
      <w:sz w:val="32"/>
      <w:szCs w:val="32"/>
    </w:rPr>
  </w:style>
  <w:style w:type="character" w:customStyle="1" w:styleId="92">
    <w:name w:val="批注框文本 字符1"/>
    <w:link w:val="32"/>
    <w:qFormat/>
    <w:uiPriority w:val="0"/>
    <w:rPr>
      <w:kern w:val="2"/>
      <w:sz w:val="18"/>
      <w:szCs w:val="18"/>
    </w:rPr>
  </w:style>
  <w:style w:type="character" w:customStyle="1" w:styleId="93">
    <w:name w:val="页脚 字符1"/>
    <w:link w:val="33"/>
    <w:qFormat/>
    <w:uiPriority w:val="0"/>
    <w:rPr>
      <w:kern w:val="2"/>
      <w:sz w:val="18"/>
      <w:szCs w:val="18"/>
    </w:rPr>
  </w:style>
  <w:style w:type="character" w:customStyle="1" w:styleId="94">
    <w:name w:val="批注文字 字符"/>
    <w:semiHidden/>
    <w:qFormat/>
    <w:uiPriority w:val="99"/>
    <w:rPr>
      <w:kern w:val="2"/>
      <w:sz w:val="21"/>
      <w:szCs w:val="24"/>
    </w:rPr>
  </w:style>
  <w:style w:type="character" w:customStyle="1" w:styleId="95">
    <w:name w:val="标题 2 字符"/>
    <w:semiHidden/>
    <w:qFormat/>
    <w:uiPriority w:val="9"/>
    <w:rPr>
      <w:rFonts w:ascii="等线 Light" w:hAnsi="等线 Light" w:eastAsia="等线 Light" w:cs="Times New Roman"/>
      <w:b/>
      <w:bCs/>
      <w:kern w:val="2"/>
      <w:sz w:val="32"/>
      <w:szCs w:val="32"/>
    </w:rPr>
  </w:style>
  <w:style w:type="character" w:customStyle="1" w:styleId="96">
    <w:name w:val="文档结构图 字符"/>
    <w:semiHidden/>
    <w:qFormat/>
    <w:uiPriority w:val="99"/>
    <w:rPr>
      <w:rFonts w:ascii="Microsoft YaHei UI" w:eastAsia="Microsoft YaHei UI"/>
      <w:kern w:val="2"/>
      <w:sz w:val="18"/>
      <w:szCs w:val="18"/>
    </w:rPr>
  </w:style>
  <w:style w:type="character" w:customStyle="1" w:styleId="97">
    <w:name w:val="z-窗体顶端 字符1"/>
    <w:link w:val="98"/>
    <w:qFormat/>
    <w:uiPriority w:val="0"/>
    <w:rPr>
      <w:rFonts w:ascii="Arial"/>
      <w:vanish/>
      <w:kern w:val="2"/>
      <w:sz w:val="16"/>
      <w:szCs w:val="24"/>
    </w:rPr>
  </w:style>
  <w:style w:type="paragraph" w:customStyle="1" w:styleId="98">
    <w:name w:val="HTML Top of Form"/>
    <w:basedOn w:val="1"/>
    <w:next w:val="1"/>
    <w:link w:val="97"/>
    <w:qFormat/>
    <w:uiPriority w:val="0"/>
    <w:pPr>
      <w:pBdr>
        <w:bottom w:val="single" w:color="auto" w:sz="6" w:space="1"/>
      </w:pBdr>
      <w:jc w:val="center"/>
    </w:pPr>
    <w:rPr>
      <w:rFonts w:ascii="Arial"/>
      <w:vanish/>
      <w:sz w:val="16"/>
    </w:rPr>
  </w:style>
  <w:style w:type="character" w:customStyle="1" w:styleId="99">
    <w:name w:val="highlight"/>
    <w:qFormat/>
    <w:uiPriority w:val="0"/>
  </w:style>
  <w:style w:type="character" w:customStyle="1" w:styleId="100">
    <w:name w:val="标题 字符1"/>
    <w:link w:val="50"/>
    <w:qFormat/>
    <w:uiPriority w:val="0"/>
    <w:rPr>
      <w:kern w:val="2"/>
      <w:sz w:val="30"/>
      <w:szCs w:val="24"/>
    </w:rPr>
  </w:style>
  <w:style w:type="character" w:customStyle="1" w:styleId="101">
    <w:name w:val="标题 1 字符1"/>
    <w:link w:val="2"/>
    <w:qFormat/>
    <w:uiPriority w:val="9"/>
    <w:rPr>
      <w:rFonts w:eastAsia="宋体"/>
      <w:b/>
      <w:bCs/>
      <w:kern w:val="44"/>
      <w:sz w:val="44"/>
      <w:szCs w:val="44"/>
      <w:lang w:val="en-US" w:eastAsia="zh-CN" w:bidi="ar-SA"/>
    </w:rPr>
  </w:style>
  <w:style w:type="character" w:customStyle="1" w:styleId="102">
    <w:name w:val="1051"/>
    <w:qFormat/>
    <w:uiPriority w:val="0"/>
    <w:rPr>
      <w:sz w:val="21"/>
      <w:szCs w:val="21"/>
    </w:rPr>
  </w:style>
  <w:style w:type="character" w:customStyle="1" w:styleId="103">
    <w:name w:val="HTML 预设格式 字符1"/>
    <w:link w:val="47"/>
    <w:qFormat/>
    <w:uiPriority w:val="0"/>
    <w:rPr>
      <w:rFonts w:ascii="黑体" w:hAnsi="Courier New" w:eastAsia="黑体" w:cs="Courier New"/>
    </w:rPr>
  </w:style>
  <w:style w:type="character" w:customStyle="1" w:styleId="104">
    <w:name w:val="批注框文本 字符"/>
    <w:semiHidden/>
    <w:qFormat/>
    <w:uiPriority w:val="99"/>
    <w:rPr>
      <w:kern w:val="2"/>
      <w:sz w:val="18"/>
      <w:szCs w:val="18"/>
    </w:rPr>
  </w:style>
  <w:style w:type="character" w:customStyle="1" w:styleId="105">
    <w:name w:val="style21"/>
    <w:qFormat/>
    <w:uiPriority w:val="0"/>
    <w:rPr>
      <w:sz w:val="17"/>
      <w:szCs w:val="17"/>
    </w:rPr>
  </w:style>
  <w:style w:type="character" w:customStyle="1" w:styleId="106">
    <w:name w:val="正文文本 3 字符"/>
    <w:semiHidden/>
    <w:qFormat/>
    <w:uiPriority w:val="99"/>
    <w:rPr>
      <w:kern w:val="2"/>
      <w:sz w:val="16"/>
      <w:szCs w:val="16"/>
    </w:rPr>
  </w:style>
  <w:style w:type="character" w:customStyle="1" w:styleId="107">
    <w:name w:val="正文文本缩进 3 字符1"/>
    <w:link w:val="41"/>
    <w:qFormat/>
    <w:uiPriority w:val="0"/>
    <w:rPr>
      <w:kern w:val="2"/>
      <w:sz w:val="16"/>
      <w:szCs w:val="16"/>
    </w:rPr>
  </w:style>
  <w:style w:type="character" w:customStyle="1" w:styleId="108">
    <w:name w:val="unnamed3"/>
    <w:basedOn w:val="51"/>
    <w:qFormat/>
    <w:uiPriority w:val="0"/>
  </w:style>
  <w:style w:type="character" w:customStyle="1" w:styleId="109">
    <w:name w:val="fd"/>
    <w:qFormat/>
    <w:uiPriority w:val="0"/>
  </w:style>
  <w:style w:type="character" w:customStyle="1" w:styleId="110">
    <w:name w:val="标题 9 字符"/>
    <w:semiHidden/>
    <w:qFormat/>
    <w:uiPriority w:val="9"/>
    <w:rPr>
      <w:rFonts w:ascii="等线 Light" w:hAnsi="等线 Light" w:eastAsia="等线 Light" w:cs="Times New Roman"/>
      <w:kern w:val="2"/>
      <w:sz w:val="21"/>
      <w:szCs w:val="21"/>
    </w:rPr>
  </w:style>
  <w:style w:type="character" w:customStyle="1" w:styleId="111">
    <w:name w:val="标题 5 字符1"/>
    <w:link w:val="6"/>
    <w:qFormat/>
    <w:uiPriority w:val="0"/>
    <w:rPr>
      <w:b/>
      <w:kern w:val="2"/>
      <w:sz w:val="28"/>
      <w:szCs w:val="24"/>
    </w:rPr>
  </w:style>
  <w:style w:type="character" w:customStyle="1" w:styleId="112">
    <w:name w:val="标题 2 字符1"/>
    <w:link w:val="3"/>
    <w:qFormat/>
    <w:uiPriority w:val="0"/>
    <w:rPr>
      <w:rFonts w:ascii="Arial" w:hAnsi="Arial" w:eastAsia="黑体"/>
      <w:b/>
      <w:bCs/>
      <w:kern w:val="2"/>
      <w:sz w:val="32"/>
      <w:szCs w:val="32"/>
    </w:rPr>
  </w:style>
  <w:style w:type="character" w:customStyle="1" w:styleId="113">
    <w:name w:val="正文文本缩进 2 字符"/>
    <w:semiHidden/>
    <w:qFormat/>
    <w:uiPriority w:val="99"/>
    <w:rPr>
      <w:kern w:val="2"/>
      <w:sz w:val="21"/>
      <w:szCs w:val="24"/>
    </w:rPr>
  </w:style>
  <w:style w:type="character" w:customStyle="1" w:styleId="114">
    <w:name w:val="z-窗体顶端 字符"/>
    <w:semiHidden/>
    <w:qFormat/>
    <w:uiPriority w:val="99"/>
    <w:rPr>
      <w:rFonts w:ascii="Arial" w:hAnsi="Arial" w:cs="Arial"/>
      <w:vanish/>
      <w:kern w:val="2"/>
      <w:sz w:val="16"/>
      <w:szCs w:val="16"/>
    </w:rPr>
  </w:style>
  <w:style w:type="character" w:customStyle="1" w:styleId="115">
    <w:name w:val="标题 6 字符1"/>
    <w:link w:val="8"/>
    <w:qFormat/>
    <w:uiPriority w:val="0"/>
    <w:rPr>
      <w:rFonts w:ascii="Arial" w:hAnsi="Arial" w:eastAsia="黑体"/>
      <w:b/>
      <w:kern w:val="2"/>
      <w:sz w:val="24"/>
      <w:szCs w:val="24"/>
    </w:rPr>
  </w:style>
  <w:style w:type="character" w:customStyle="1" w:styleId="116">
    <w:name w:val="case31"/>
    <w:qFormat/>
    <w:uiPriority w:val="0"/>
    <w:rPr>
      <w:rFonts w:hint="default"/>
      <w:sz w:val="21"/>
      <w:szCs w:val="21"/>
    </w:rPr>
  </w:style>
  <w:style w:type="character" w:customStyle="1" w:styleId="117">
    <w:name w:val="标题3 Char"/>
    <w:link w:val="118"/>
    <w:qFormat/>
    <w:uiPriority w:val="0"/>
    <w:rPr>
      <w:rFonts w:ascii="宋体" w:hAnsi="宋体"/>
      <w:b/>
      <w:bCs/>
      <w:kern w:val="44"/>
      <w:sz w:val="24"/>
      <w:szCs w:val="24"/>
    </w:rPr>
  </w:style>
  <w:style w:type="paragraph" w:customStyle="1" w:styleId="118">
    <w:name w:val="标题3"/>
    <w:basedOn w:val="2"/>
    <w:link w:val="117"/>
    <w:qFormat/>
    <w:uiPriority w:val="0"/>
    <w:pPr>
      <w:spacing w:before="0" w:beforeLines="50" w:after="0" w:afterLines="50" w:line="400" w:lineRule="exact"/>
    </w:pPr>
    <w:rPr>
      <w:rFonts w:ascii="宋体" w:hAnsi="宋体"/>
      <w:sz w:val="24"/>
      <w:szCs w:val="24"/>
    </w:rPr>
  </w:style>
  <w:style w:type="character" w:customStyle="1" w:styleId="119">
    <w:name w:val="正文文本 2 字符1"/>
    <w:link w:val="44"/>
    <w:qFormat/>
    <w:uiPriority w:val="0"/>
    <w:rPr>
      <w:kern w:val="2"/>
      <w:sz w:val="21"/>
      <w:szCs w:val="24"/>
    </w:rPr>
  </w:style>
  <w:style w:type="character" w:customStyle="1" w:styleId="120">
    <w:name w:val="标题 3 字符"/>
    <w:semiHidden/>
    <w:qFormat/>
    <w:uiPriority w:val="9"/>
    <w:rPr>
      <w:b/>
      <w:bCs/>
      <w:kern w:val="2"/>
      <w:sz w:val="32"/>
      <w:szCs w:val="32"/>
    </w:rPr>
  </w:style>
  <w:style w:type="character" w:customStyle="1" w:styleId="121">
    <w:name w:val="正文文本 2 字符"/>
    <w:semiHidden/>
    <w:qFormat/>
    <w:uiPriority w:val="99"/>
    <w:rPr>
      <w:kern w:val="2"/>
      <w:sz w:val="21"/>
      <w:szCs w:val="24"/>
    </w:rPr>
  </w:style>
  <w:style w:type="character" w:customStyle="1" w:styleId="122">
    <w:name w:val="标题 1 字符"/>
    <w:qFormat/>
    <w:uiPriority w:val="9"/>
    <w:rPr>
      <w:b/>
      <w:bCs/>
      <w:kern w:val="44"/>
      <w:sz w:val="44"/>
      <w:szCs w:val="44"/>
    </w:rPr>
  </w:style>
  <w:style w:type="character" w:customStyle="1" w:styleId="123">
    <w:name w:val="页脚 字符"/>
    <w:semiHidden/>
    <w:qFormat/>
    <w:uiPriority w:val="99"/>
    <w:rPr>
      <w:kern w:val="2"/>
      <w:sz w:val="18"/>
      <w:szCs w:val="18"/>
    </w:rPr>
  </w:style>
  <w:style w:type="character" w:customStyle="1" w:styleId="124">
    <w:name w:val="正文文本首行缩进 2 字符"/>
    <w:semiHidden/>
    <w:qFormat/>
    <w:uiPriority w:val="99"/>
  </w:style>
  <w:style w:type="character" w:customStyle="1" w:styleId="125">
    <w:name w:val="文档结构图 字符1"/>
    <w:link w:val="20"/>
    <w:qFormat/>
    <w:uiPriority w:val="0"/>
    <w:rPr>
      <w:sz w:val="21"/>
      <w:shd w:val="clear" w:color="auto" w:fill="000080"/>
    </w:rPr>
  </w:style>
  <w:style w:type="character" w:customStyle="1" w:styleId="126">
    <w:name w:val="正文文本首行缩进 字符1"/>
    <w:link w:val="16"/>
    <w:qFormat/>
    <w:uiPriority w:val="0"/>
    <w:rPr>
      <w:kern w:val="2"/>
      <w:sz w:val="21"/>
      <w:szCs w:val="24"/>
    </w:rPr>
  </w:style>
  <w:style w:type="character" w:customStyle="1" w:styleId="127">
    <w:name w:val="apple-converted-space"/>
    <w:qFormat/>
    <w:uiPriority w:val="0"/>
  </w:style>
  <w:style w:type="character" w:customStyle="1" w:styleId="128">
    <w:name w:val="批注文字 字符1"/>
    <w:link w:val="14"/>
    <w:qFormat/>
    <w:uiPriority w:val="0"/>
    <w:rPr>
      <w:kern w:val="2"/>
      <w:sz w:val="21"/>
      <w:szCs w:val="24"/>
    </w:rPr>
  </w:style>
  <w:style w:type="character" w:customStyle="1" w:styleId="129">
    <w:name w:val="纯文本 字符1"/>
    <w:link w:val="28"/>
    <w:qFormat/>
    <w:uiPriority w:val="99"/>
    <w:rPr>
      <w:rFonts w:ascii="宋体" w:hAnsi="Courier New" w:eastAsia="宋体" w:cs="Courier New"/>
      <w:kern w:val="2"/>
      <w:sz w:val="21"/>
      <w:szCs w:val="21"/>
      <w:lang w:val="en-US" w:eastAsia="zh-CN" w:bidi="ar-SA"/>
    </w:rPr>
  </w:style>
  <w:style w:type="character" w:customStyle="1" w:styleId="130">
    <w:name w:val="正文文本 字符1"/>
    <w:link w:val="17"/>
    <w:qFormat/>
    <w:uiPriority w:val="99"/>
    <w:rPr>
      <w:kern w:val="2"/>
      <w:sz w:val="24"/>
      <w:szCs w:val="24"/>
    </w:rPr>
  </w:style>
  <w:style w:type="character" w:customStyle="1" w:styleId="131">
    <w:name w:val="日期 字符"/>
    <w:semiHidden/>
    <w:qFormat/>
    <w:uiPriority w:val="99"/>
    <w:rPr>
      <w:kern w:val="2"/>
      <w:sz w:val="21"/>
      <w:szCs w:val="24"/>
    </w:rPr>
  </w:style>
  <w:style w:type="character" w:customStyle="1" w:styleId="132">
    <w:name w:val="纯文本 字符"/>
    <w:semiHidden/>
    <w:qFormat/>
    <w:uiPriority w:val="99"/>
    <w:rPr>
      <w:rFonts w:ascii="等线" w:hAnsi="Courier New" w:eastAsia="等线" w:cs="Courier New"/>
      <w:kern w:val="2"/>
      <w:sz w:val="21"/>
      <w:szCs w:val="24"/>
    </w:rPr>
  </w:style>
  <w:style w:type="character" w:customStyle="1" w:styleId="133">
    <w:name w:val="正文文本缩进 2 字符1"/>
    <w:link w:val="31"/>
    <w:qFormat/>
    <w:uiPriority w:val="0"/>
    <w:rPr>
      <w:kern w:val="2"/>
      <w:sz w:val="32"/>
    </w:rPr>
  </w:style>
  <w:style w:type="character" w:customStyle="1" w:styleId="134">
    <w:name w:val="标题 9 字符1"/>
    <w:link w:val="11"/>
    <w:qFormat/>
    <w:uiPriority w:val="0"/>
    <w:rPr>
      <w:rFonts w:ascii="Arial" w:hAnsi="Arial" w:eastAsia="黑体"/>
      <w:kern w:val="2"/>
      <w:sz w:val="21"/>
      <w:szCs w:val="24"/>
    </w:rPr>
  </w:style>
  <w:style w:type="character" w:customStyle="1" w:styleId="135">
    <w:name w:val="style11"/>
    <w:qFormat/>
    <w:uiPriority w:val="0"/>
    <w:rPr>
      <w:rFonts w:hint="default" w:ascii="Arial" w:hAnsi="Arial" w:cs="Arial"/>
    </w:rPr>
  </w:style>
  <w:style w:type="character" w:customStyle="1" w:styleId="136">
    <w:name w:val="页眉 字符1"/>
    <w:link w:val="35"/>
    <w:qFormat/>
    <w:uiPriority w:val="99"/>
    <w:rPr>
      <w:kern w:val="2"/>
      <w:sz w:val="18"/>
      <w:szCs w:val="18"/>
    </w:rPr>
  </w:style>
  <w:style w:type="character" w:customStyle="1" w:styleId="137">
    <w:name w:val="标题 8 字符"/>
    <w:semiHidden/>
    <w:qFormat/>
    <w:uiPriority w:val="9"/>
    <w:rPr>
      <w:rFonts w:ascii="等线 Light" w:hAnsi="等线 Light" w:eastAsia="等线 Light" w:cs="Times New Roman"/>
      <w:kern w:val="2"/>
      <w:sz w:val="24"/>
      <w:szCs w:val="24"/>
    </w:rPr>
  </w:style>
  <w:style w:type="character" w:customStyle="1" w:styleId="138">
    <w:name w:val="正文文本缩进 3 字符"/>
    <w:semiHidden/>
    <w:qFormat/>
    <w:uiPriority w:val="99"/>
    <w:rPr>
      <w:kern w:val="2"/>
      <w:sz w:val="16"/>
      <w:szCs w:val="16"/>
    </w:rPr>
  </w:style>
  <w:style w:type="character" w:customStyle="1" w:styleId="139">
    <w:name w:val="正文文本 字符"/>
    <w:semiHidden/>
    <w:qFormat/>
    <w:uiPriority w:val="99"/>
    <w:rPr>
      <w:kern w:val="2"/>
      <w:sz w:val="21"/>
      <w:szCs w:val="24"/>
    </w:rPr>
  </w:style>
  <w:style w:type="paragraph" w:customStyle="1" w:styleId="140">
    <w:name w:val="Char Char Char Char Char Char Char"/>
    <w:basedOn w:val="1"/>
    <w:qFormat/>
    <w:uiPriority w:val="0"/>
  </w:style>
  <w:style w:type="paragraph" w:customStyle="1" w:styleId="14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2">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3">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5">
    <w:name w:val="Char Char Char"/>
    <w:basedOn w:val="20"/>
    <w:qFormat/>
    <w:uiPriority w:val="0"/>
    <w:pPr>
      <w:adjustRightInd/>
      <w:spacing w:line="240" w:lineRule="auto"/>
      <w:textAlignment w:val="auto"/>
    </w:pPr>
    <w:rPr>
      <w:rFonts w:ascii="Tahoma" w:hAnsi="Tahoma"/>
      <w:kern w:val="2"/>
      <w:sz w:val="24"/>
      <w:szCs w:val="24"/>
    </w:rPr>
  </w:style>
  <w:style w:type="paragraph" w:customStyle="1" w:styleId="14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7">
    <w:name w:val="_Style 109"/>
    <w:basedOn w:val="1"/>
    <w:next w:val="148"/>
    <w:qFormat/>
    <w:uiPriority w:val="34"/>
    <w:pPr>
      <w:ind w:firstLine="420" w:firstLineChars="200"/>
    </w:pPr>
    <w:rPr>
      <w:rFonts w:ascii="Calibri" w:hAnsi="Calibri"/>
      <w:szCs w:val="22"/>
    </w:rPr>
  </w:style>
  <w:style w:type="paragraph" w:styleId="148">
    <w:name w:val="List Paragraph"/>
    <w:basedOn w:val="1"/>
    <w:qFormat/>
    <w:uiPriority w:val="34"/>
    <w:pPr>
      <w:ind w:firstLine="420" w:firstLineChars="200"/>
    </w:pPr>
    <w:rPr>
      <w:rFonts w:ascii="Calibri" w:hAnsi="Calibri"/>
      <w:szCs w:val="22"/>
    </w:rPr>
  </w:style>
  <w:style w:type="paragraph" w:customStyle="1" w:styleId="14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1">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3">
    <w:name w:val="Char Char Char Char Char Char Char1"/>
    <w:basedOn w:val="1"/>
    <w:qFormat/>
    <w:uiPriority w:val="0"/>
  </w:style>
  <w:style w:type="paragraph" w:customStyle="1" w:styleId="15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6">
    <w:name w:val="tgt1"/>
    <w:basedOn w:val="1"/>
    <w:qFormat/>
    <w:uiPriority w:val="0"/>
    <w:pPr>
      <w:widowControl/>
      <w:spacing w:after="150"/>
      <w:jc w:val="left"/>
    </w:pPr>
    <w:rPr>
      <w:rFonts w:ascii="宋体" w:hAnsi="宋体" w:cs="宋体"/>
      <w:kern w:val="0"/>
      <w:sz w:val="24"/>
    </w:rPr>
  </w:style>
  <w:style w:type="paragraph" w:customStyle="1" w:styleId="157">
    <w:name w:val="444"/>
    <w:basedOn w:val="1"/>
    <w:qFormat/>
    <w:uiPriority w:val="0"/>
    <w:pPr>
      <w:adjustRightInd w:val="0"/>
      <w:spacing w:line="312" w:lineRule="atLeast"/>
      <w:jc w:val="center"/>
      <w:textAlignment w:val="baseline"/>
    </w:pPr>
    <w:rPr>
      <w:b/>
      <w:kern w:val="0"/>
      <w:sz w:val="36"/>
      <w:szCs w:val="36"/>
    </w:rPr>
  </w:style>
  <w:style w:type="paragraph" w:customStyle="1" w:styleId="158">
    <w:name w:val="表格"/>
    <w:basedOn w:val="1"/>
    <w:qFormat/>
    <w:uiPriority w:val="0"/>
    <w:pPr>
      <w:spacing w:line="400" w:lineRule="exact"/>
    </w:pPr>
    <w:rPr>
      <w:sz w:val="24"/>
    </w:rPr>
  </w:style>
  <w:style w:type="paragraph" w:customStyle="1" w:styleId="159">
    <w:name w:val="F2"/>
    <w:basedOn w:val="1"/>
    <w:qFormat/>
    <w:uiPriority w:val="0"/>
    <w:pPr>
      <w:autoSpaceDE w:val="0"/>
      <w:autoSpaceDN w:val="0"/>
      <w:adjustRightInd w:val="0"/>
      <w:ind w:firstLine="601"/>
      <w:textAlignment w:val="baseline"/>
    </w:pPr>
    <w:rPr>
      <w:kern w:val="0"/>
      <w:sz w:val="24"/>
      <w:szCs w:val="20"/>
    </w:rPr>
  </w:style>
  <w:style w:type="paragraph" w:customStyle="1" w:styleId="160">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1">
    <w:name w:val="Char Char Char1"/>
    <w:basedOn w:val="20"/>
    <w:qFormat/>
    <w:uiPriority w:val="0"/>
    <w:pPr>
      <w:adjustRightInd/>
      <w:spacing w:line="240" w:lineRule="auto"/>
      <w:textAlignment w:val="auto"/>
    </w:pPr>
    <w:rPr>
      <w:rFonts w:ascii="Tahoma" w:hAnsi="Tahoma"/>
      <w:kern w:val="2"/>
      <w:sz w:val="24"/>
      <w:szCs w:val="24"/>
    </w:rPr>
  </w:style>
  <w:style w:type="paragraph" w:customStyle="1" w:styleId="16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4">
    <w:name w:val="次小点说明 Char"/>
    <w:basedOn w:val="7"/>
    <w:qFormat/>
    <w:uiPriority w:val="0"/>
    <w:pPr>
      <w:ind w:firstLine="0"/>
    </w:pPr>
    <w:rPr>
      <w:sz w:val="24"/>
      <w:szCs w:val="24"/>
    </w:rPr>
  </w:style>
  <w:style w:type="paragraph" w:customStyle="1" w:styleId="16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7">
    <w:name w:val="Char Char Char Char Char Char Char Char Char Char Char Char Char"/>
    <w:basedOn w:val="20"/>
    <w:qFormat/>
    <w:uiPriority w:val="0"/>
    <w:pPr>
      <w:adjustRightInd/>
      <w:spacing w:line="240" w:lineRule="auto"/>
      <w:textAlignment w:val="auto"/>
    </w:pPr>
    <w:rPr>
      <w:rFonts w:ascii="Tahoma" w:hAnsi="Tahoma"/>
      <w:kern w:val="2"/>
      <w:sz w:val="24"/>
      <w:szCs w:val="24"/>
    </w:rPr>
  </w:style>
  <w:style w:type="paragraph" w:customStyle="1" w:styleId="16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6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0">
    <w:name w:val="样式1"/>
    <w:basedOn w:val="1"/>
    <w:qFormat/>
    <w:uiPriority w:val="0"/>
    <w:pPr>
      <w:spacing w:before="120" w:after="120" w:line="300" w:lineRule="auto"/>
    </w:pPr>
    <w:rPr>
      <w:rFonts w:ascii="宋体" w:hAnsi="宋体"/>
      <w:b/>
      <w:sz w:val="24"/>
      <w:szCs w:val="20"/>
    </w:rPr>
  </w:style>
  <w:style w:type="paragraph" w:customStyle="1" w:styleId="171">
    <w:name w:val="Char Char Char Char Char Char Char Char Char Char Char Char Char1"/>
    <w:basedOn w:val="20"/>
    <w:qFormat/>
    <w:uiPriority w:val="0"/>
    <w:pPr>
      <w:adjustRightInd/>
      <w:spacing w:line="240" w:lineRule="auto"/>
      <w:textAlignment w:val="auto"/>
    </w:pPr>
    <w:rPr>
      <w:rFonts w:ascii="Tahoma" w:hAnsi="Tahoma"/>
      <w:kern w:val="2"/>
      <w:sz w:val="24"/>
      <w:szCs w:val="24"/>
    </w:rPr>
  </w:style>
  <w:style w:type="paragraph" w:customStyle="1" w:styleId="172">
    <w:name w:val="默认段落字体 Para Char"/>
    <w:basedOn w:val="1"/>
    <w:qFormat/>
    <w:uiPriority w:val="0"/>
    <w:pPr>
      <w:adjustRightInd w:val="0"/>
      <w:spacing w:line="360" w:lineRule="auto"/>
    </w:pPr>
    <w:rPr>
      <w:kern w:val="0"/>
      <w:sz w:val="24"/>
      <w:szCs w:val="20"/>
    </w:rPr>
  </w:style>
  <w:style w:type="paragraph" w:customStyle="1" w:styleId="17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6">
    <w:name w:val="Char4"/>
    <w:basedOn w:val="1"/>
    <w:qFormat/>
    <w:uiPriority w:val="0"/>
    <w:pPr>
      <w:tabs>
        <w:tab w:val="left" w:pos="360"/>
      </w:tabs>
      <w:ind w:left="252" w:hanging="252" w:hangingChars="140"/>
    </w:pPr>
    <w:rPr>
      <w:rFonts w:ascii="宋体"/>
      <w:sz w:val="18"/>
      <w:szCs w:val="18"/>
    </w:rPr>
  </w:style>
  <w:style w:type="paragraph" w:customStyle="1" w:styleId="17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正文首行缩进两字符"/>
    <w:basedOn w:val="1"/>
    <w:qFormat/>
    <w:uiPriority w:val="0"/>
    <w:pPr>
      <w:spacing w:line="360" w:lineRule="auto"/>
      <w:ind w:firstLine="200" w:firstLineChars="200"/>
    </w:pPr>
  </w:style>
  <w:style w:type="paragraph" w:customStyle="1" w:styleId="182">
    <w:name w:val="正文段"/>
    <w:basedOn w:val="1"/>
    <w:qFormat/>
    <w:uiPriority w:val="0"/>
    <w:pPr>
      <w:widowControl/>
      <w:snapToGrid w:val="0"/>
      <w:spacing w:after="156" w:afterLines="50"/>
      <w:ind w:firstLine="200" w:firstLineChars="200"/>
    </w:pPr>
    <w:rPr>
      <w:kern w:val="0"/>
      <w:sz w:val="24"/>
      <w:szCs w:val="20"/>
    </w:rPr>
  </w:style>
  <w:style w:type="paragraph" w:customStyle="1" w:styleId="183">
    <w:name w:val="默认段落字体 Para Char Char Char Char Char Char Char Char Char1 Char Char Char Char"/>
    <w:basedOn w:val="1"/>
    <w:qFormat/>
    <w:uiPriority w:val="0"/>
    <w:rPr>
      <w:rFonts w:ascii="Tahoma" w:hAnsi="Tahoma"/>
      <w:sz w:val="24"/>
      <w:szCs w:val="20"/>
    </w:rPr>
  </w:style>
  <w:style w:type="paragraph" w:customStyle="1" w:styleId="18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5">
    <w:name w:val="1"/>
    <w:basedOn w:val="1"/>
    <w:next w:val="28"/>
    <w:qFormat/>
    <w:uiPriority w:val="0"/>
    <w:rPr>
      <w:rFonts w:ascii="宋体" w:hAnsi="Courier New"/>
      <w:szCs w:val="20"/>
    </w:rPr>
  </w:style>
  <w:style w:type="paragraph" w:customStyle="1" w:styleId="186">
    <w:name w:val="Char1"/>
    <w:basedOn w:val="1"/>
    <w:qFormat/>
    <w:uiPriority w:val="0"/>
    <w:rPr>
      <w:szCs w:val="21"/>
    </w:rPr>
  </w:style>
  <w:style w:type="paragraph" w:customStyle="1" w:styleId="187">
    <w:name w:val="五号正文（标准）"/>
    <w:basedOn w:val="1"/>
    <w:qFormat/>
    <w:uiPriority w:val="0"/>
    <w:pPr>
      <w:spacing w:line="360" w:lineRule="auto"/>
      <w:ind w:right="55" w:firstLine="560" w:firstLineChars="200"/>
    </w:pPr>
    <w:rPr>
      <w:rFonts w:eastAsia="仿宋_GB2312"/>
      <w:sz w:val="28"/>
      <w:szCs w:val="20"/>
    </w:rPr>
  </w:style>
  <w:style w:type="paragraph" w:customStyle="1" w:styleId="1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9">
    <w:name w:val="Char Char Char2"/>
    <w:basedOn w:val="1"/>
    <w:qFormat/>
    <w:uiPriority w:val="0"/>
    <w:rPr>
      <w:rFonts w:ascii="Tahoma" w:hAnsi="Tahoma"/>
      <w:sz w:val="24"/>
      <w:szCs w:val="20"/>
    </w:rPr>
  </w:style>
  <w:style w:type="paragraph" w:customStyle="1" w:styleId="19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1">
    <w:name w:val="List Paragraph1"/>
    <w:basedOn w:val="1"/>
    <w:qFormat/>
    <w:uiPriority w:val="0"/>
    <w:pPr>
      <w:ind w:firstLine="420" w:firstLineChars="200"/>
    </w:pPr>
    <w:rPr>
      <w:rFonts w:ascii="Calibri" w:hAnsi="Calibri"/>
      <w:szCs w:val="22"/>
    </w:rPr>
  </w:style>
  <w:style w:type="paragraph" w:customStyle="1" w:styleId="192">
    <w:name w:val="样式 首行缩进:  2 字符"/>
    <w:basedOn w:val="1"/>
    <w:qFormat/>
    <w:uiPriority w:val="0"/>
    <w:pPr>
      <w:spacing w:line="400" w:lineRule="exact"/>
      <w:ind w:firstLine="200" w:firstLineChars="200"/>
    </w:pPr>
    <w:rPr>
      <w:rFonts w:cs="宋体"/>
      <w:sz w:val="24"/>
    </w:rPr>
  </w:style>
  <w:style w:type="paragraph" w:customStyle="1" w:styleId="19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6">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197">
    <w:name w:val="Unresolved Mention"/>
    <w:semiHidden/>
    <w:unhideWhenUsed/>
    <w:qFormat/>
    <w:uiPriority w:val="99"/>
    <w:rPr>
      <w:color w:val="605E5C"/>
      <w:shd w:val="clear" w:color="auto" w:fill="E1DFDD"/>
    </w:rPr>
  </w:style>
  <w:style w:type="character" w:customStyle="1" w:styleId="198">
    <w:name w:val="批注文字 Char"/>
    <w:qFormat/>
    <w:uiPriority w:val="0"/>
    <w:rPr>
      <w:kern w:val="2"/>
      <w:sz w:val="21"/>
      <w:szCs w:val="24"/>
    </w:rPr>
  </w:style>
  <w:style w:type="character" w:styleId="199">
    <w:name w:val="Placeholder Text"/>
    <w:basedOn w:val="51"/>
    <w:unhideWhenUsed/>
    <w:qFormat/>
    <w:uiPriority w:val="99"/>
    <w:rPr>
      <w:color w:val="80808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theme" Target="theme/theme1.xml"/>
  <Relationship Id="rId19" Type="http://schemas.openxmlformats.org/officeDocument/2006/relationships/image" Target="media/image1.png"/>
  <Relationship Id="rId2" Type="http://schemas.openxmlformats.org/officeDocument/2006/relationships/settings" Target="settings.xml"/>
  <Relationship Id="rId20" Type="http://schemas.openxmlformats.org/officeDocument/2006/relationships/customXml" Target="../customXml/item1.xml"/>
  <Relationship Id="rId21" Type="http://schemas.openxmlformats.org/officeDocument/2006/relationships/numbering" Target="numbering.xml"/>
  <Relationship Id="rId22" Type="http://schemas.openxmlformats.org/officeDocument/2006/relationships/fontTable" Target="fontTable.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70</Pages>
  <Words>43279</Words>
  <Characters>8322</Characters>
  <Lines>69</Lines>
  <Paragraphs>102</Paragraphs>
  <TotalTime>15</TotalTime>
  <ScaleCrop>false</ScaleCrop>
  <LinksUpToDate>false</LinksUpToDate>
  <CharactersWithSpaces>51499</CharactersWithSpaces>
  <Application>WPS Office_10.1.0.7698_F1E327BC-269C-435d-A152-05C5408002CA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2020-08-07T04:11:00Z</dcterms:created>
  <dc:creator>微软用户</dc:creator>
  <lastModifiedBy>NTKO</lastModifiedBy>
  <lastPrinted>2020-08-07T04:11:00Z</lastPrinted>
  <dcterms:modified xsi:type="dcterms:W3CDTF">2020-08-19T08:38:10Z</dcterms:modified>
  <revision>45</revision>
  <dc:title>桂财采〔2009〕 号</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ies>
</file>